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麻醉科设备一批采购项目(二次)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CGXM-2025-350101-00621[2025]03423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[350101]AHG[GK]2025003-1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福建安华发展有限公司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福建安华发展有限公司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麻醉科设备一批采购项目(二次)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CGXM-2025-350101-00621[2025]03423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[350101]AHG[GK]2025003-1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按照财政部《关于印发节能产品政府采购品目清单的通知》（财库〔2019〕19号）或最新公布的品目清单执行。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按照财政部《关于印发环境标志产品政府采购品目清单的通知》（财库〔2019〕18号）或最新公布的品目清单执行。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其他资格要求</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③所有证明材料均应在有效期内。</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福建安华发展有限公司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福建省福州市鼓楼区五四路国际大厦综合楼二十一层A座</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363005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潘桂兰、陈延存</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0596-2961882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福建安华发展有限公司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695,000.00</w:t>
      </w:r>
    </w:p>
    <w:p>
      <w:pPr>
        <w:pStyle w:val="null3"/>
        <w:jc w:val="left"/>
      </w:pPr>
      <w:r>
        <w:rPr>
          <w:rFonts w:ascii="仿宋_GB2312" w:hAnsi="仿宋_GB2312" w:cs="仿宋_GB2312" w:eastAsia="仿宋_GB2312"/>
        </w:rPr>
        <w:t>采购包保证金金额（元）: 9,000.00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麻醉科设备一批</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麻醉科设备一批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麻醉科设备一批</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麻醉机（高频喷射）</w:t>
            </w:r>
          </w:p>
        </w:tc>
        <w:tc>
          <w:tcPr>
            <w:tcW w:type="dxa" w:w="2076"/>
          </w:tcPr>
          <w:p>
            <w:pPr>
              <w:pStyle w:val="null3"/>
              <w:jc w:val="left"/>
            </w:pPr>
            <w:r>
              <w:rPr>
                <w:rFonts w:ascii="仿宋_GB2312" w:hAnsi="仿宋_GB2312" w:cs="仿宋_GB2312" w:eastAsia="仿宋_GB2312"/>
              </w:rPr>
              <w:t>麻醉机（高频喷射）</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麻醉机（高流量）</w:t>
            </w:r>
          </w:p>
        </w:tc>
        <w:tc>
          <w:tcPr>
            <w:tcW w:type="dxa" w:w="2076"/>
          </w:tcPr>
          <w:p>
            <w:pPr>
              <w:pStyle w:val="null3"/>
              <w:jc w:val="left"/>
            </w:pPr>
            <w:r>
              <w:rPr>
                <w:rFonts w:ascii="仿宋_GB2312" w:hAnsi="仿宋_GB2312" w:cs="仿宋_GB2312" w:eastAsia="仿宋_GB2312"/>
              </w:rPr>
              <w:t>麻醉机（高流量）</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235,000.00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加温毯</w:t>
            </w:r>
          </w:p>
        </w:tc>
        <w:tc>
          <w:tcPr>
            <w:tcW w:type="dxa" w:w="2076"/>
          </w:tcPr>
          <w:p>
            <w:pPr>
              <w:pStyle w:val="null3"/>
              <w:jc w:val="left"/>
            </w:pPr>
            <w:r>
              <w:rPr>
                <w:rFonts w:ascii="仿宋_GB2312" w:hAnsi="仿宋_GB2312" w:cs="仿宋_GB2312" w:eastAsia="仿宋_GB2312"/>
              </w:rPr>
              <w:t>加温毯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3台</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输液加温仪</w:t>
            </w:r>
          </w:p>
        </w:tc>
        <w:tc>
          <w:tcPr>
            <w:tcW w:type="dxa" w:w="2076"/>
          </w:tcPr>
          <w:p>
            <w:pPr>
              <w:pStyle w:val="null3"/>
              <w:jc w:val="left"/>
            </w:pPr>
            <w:r>
              <w:rPr>
                <w:rFonts w:ascii="仿宋_GB2312" w:hAnsi="仿宋_GB2312" w:cs="仿宋_GB2312" w:eastAsia="仿宋_GB2312"/>
              </w:rPr>
              <w:t>输液加温仪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麻醉深度监护仪（BIS监测仪）</w:t>
            </w:r>
          </w:p>
        </w:tc>
        <w:tc>
          <w:tcPr>
            <w:tcW w:type="dxa" w:w="2076"/>
          </w:tcPr>
          <w:p>
            <w:pPr>
              <w:pStyle w:val="null3"/>
              <w:jc w:val="left"/>
            </w:pPr>
            <w:r>
              <w:rPr>
                <w:rFonts w:ascii="仿宋_GB2312" w:hAnsi="仿宋_GB2312" w:cs="仿宋_GB2312" w:eastAsia="仿宋_GB2312"/>
              </w:rPr>
              <w:t>麻醉深度监护仪（BIS监测仪）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肌松监测仪</w:t>
            </w:r>
          </w:p>
        </w:tc>
        <w:tc>
          <w:tcPr>
            <w:tcW w:type="dxa" w:w="2076"/>
          </w:tcPr>
          <w:p>
            <w:pPr>
              <w:pStyle w:val="null3"/>
              <w:jc w:val="left"/>
            </w:pPr>
            <w:r>
              <w:rPr>
                <w:rFonts w:ascii="仿宋_GB2312" w:hAnsi="仿宋_GB2312" w:cs="仿宋_GB2312" w:eastAsia="仿宋_GB2312"/>
              </w:rPr>
              <w:t>肌松监测仪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福建安华发展有限公司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代理服务费以采购包的中标（成交）金额为收费的计算基数，按差额定率累进法计算，代理服务费收费标准：100万元以下（含100万元）：1.5%。②招标代理服务费的交纳方式：中标人在领取中标通知书前以支票、现金等付款方式一次性付清。③代理服务费缴交帐户（开户名：福建安华发展有限公司 开户行：中国工商银行股份有限公司漳州分行营业部。 帐号14 0902 0919 6003 18876 ）。电子邮箱：FJAHDL006@126.com。</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开标时，如个别投标人的投标报价过低，导致系统预警提示，或投标人的投标报价明显低于其它通过符合性审查投标人的报价，评标时，评标委员将会对价格合理性进行评估，有可能影响产品质量或者不能诚信履约的，根据《政府采购货物和服务招标投标管理办法》（财政部令第87号）第六十条的规定，评标委员会应当要求投标人在评标现场合理的时间内（一般在接到通知的半小时内）提供书面说明，必要时还应要求其一并提交有关证明材料；投标人在规定的时间内不能证明其报价合理性的，评标委员会应将其作为无效投标处理。建议投标人提前评估其报价的合理性，提早准备相应材料，以便出现上述情形时能在规定时间内提供。2、质疑函的提交方式①供应商递交质疑函时还应出具供应商已在福建省政府采购网上公开信息系统上已对本项目进行报名的证明文件（体现报名时间），否则将不被认定为潜在供应商或供应商，其质疑将不予受理。【采购文件首次下载之日为投标人在福建省政府采购网上公开信息系统成功报名之日。】②潜在供应商或供应商针对同一采购程序环节的质疑应在国家法律、法规或财政部门规定的期限内一次性提出。③供应商为法人或其他组织的，质疑函需逐页加盖供应商单位公章；若本项目接受自然人参加投标且质疑人为自然人的，质疑函需质疑人本人逐页签名。否则质疑将不予受理。 ④供应商对本项目招标文件有任何疑议或不认同之处，需在法定时间内按规定以书面方式提出质疑，否则视为供应商接受采购文件的规定。⑤质疑函格式应采用财政部发布的《政府采购供)应商质疑函范本》。3、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投标人对其提供各种资料、说明的真实性负责。</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1、本项目采用“远程开标”，投标人可到开标现场，也可不到开标现场，由投标人自行决定。 2、投标人不到开标现场的，请在福建省政府采购网“服务专区/下载专区/资料下载”中，下载《远程开标操作手册》，在开标时自行登录采购系统，线上观看开标过程，并按要求在开标时段对投标文件进行远程解密、远程签章。建议使用谷歌浏览器并安装最新版系统CA客户端（客户端下载地址https://zfcg.czt.fujian.gov.cn/freecms/site/fujian/1072/info/2023/22002906.html）。 3、投标人应确保自身设施、设备、网络状况良好，提请了解熟悉远程开标流程，因投标人自身原因造成无法正常观看开标过程、远程解密或签章的，后果由投标人自行承担。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5、投标人应在远程解密开启后在规定时间内使用CA数字证书（应与投标文件加密时所用CA证书一致）进行投标文件的解密操作（远程解密时限为30分钟），逾期未解密的视为放弃投标。 6、唱标结束后，投标人可对开标结果进行签章，并在远程签章开放后规定时间内（签章时限为10分钟）完成，逾期未签章的视同认可开标结果。 7、开、评标期间，投标人代表应保证采购系统中预留的联系方式畅通，以便随时接收并答复评标委员会发起的澄清等事项。 8、在操作过程中如有疑问请咨询技术人员（400-1612-666）或采购代理机构工作人员。</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福建安华发展有限公司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福建安华发展有限公司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福建安华发展有限公司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福建安华发展有限公司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福建安华发展有限公司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福建安华发展有限公司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福建安华发展有限公司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福建安华发展有限公司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福建安华发展有限公司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福建安华发展有限公司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福建安华发展有限公司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福建安华发展有限公司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福建安华发展有限公司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福建安华发展有限公司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福建安华发展有限公司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福建安华发展有限公司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福建安华发展有限公司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福建安华发展有限公司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福建安华发展有限公司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福建安华发展有限公司</w:t>
      </w:r>
      <w:r>
        <w:rPr>
          <w:rFonts w:ascii="仿宋_GB2312" w:hAnsi="仿宋_GB2312" w:cs="仿宋_GB2312" w:eastAsia="仿宋_GB2312"/>
        </w:rPr>
        <w:t xml:space="preserve"> 提出询问， </w:t>
      </w:r>
      <w:r>
        <w:rPr>
          <w:rFonts w:ascii="仿宋_GB2312" w:hAnsi="仿宋_GB2312" w:cs="仿宋_GB2312" w:eastAsia="仿宋_GB2312"/>
        </w:rPr>
        <w:t>福建安华发展有限公司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福建安华发展有限公司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福建安华发展有限公司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由福建安华发展有限公司派出的工作人员至少1人，</w:t>
      </w:r>
      <w:r>
        <w:rPr>
          <w:rFonts w:ascii="仿宋_GB2312" w:hAnsi="仿宋_GB2312" w:cs="仿宋_GB2312" w:eastAsia="仿宋_GB2312"/>
        </w:rPr>
        <w:t>其余1人可为采购人代表或福建安华发展有限公司的工作人员。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其他资格要求</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③所有证明材料均应在有效期内。</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福建安华发展有限公司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福建安华发展有限公司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福建安华发展有限公司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福建安华发展有限公司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中出现报价部分的全部或部分的投标报价信息（或组成资料）。（2）对招标文件《第五章招标内容及要求》“二、技术和服务要求”中以“★”标示的内容有负偏离或未响应的。（3）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（1）对招标文件《第五章招标内容及要求》“ 三、商务要求”中标注“★”要求存在负偏离或者未响应的；（2）商务部分中出现报价部分的全部或部分的投标报价信息（或组成资料）的；（3）违反招标文件中载明“投标无效”条款的规定。</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投标报价超过招标文件中规定的预算金额或最高限价；（2）评标委员会认为投标人的报价明显低于其他通过符合性审查的投标人的报价，有可能影响产品质量或不能诚信履约的，应要求其在评标现场合理的时间内提供书面说明，必要时还应要求其一并提交有关证明材料；投标人不能证明其报价合理性的。（3）违反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1.技术和服务要求响应1</w:t>
            </w:r>
          </w:p>
        </w:tc>
        <w:tc>
          <w:tcPr>
            <w:tcW w:type="dxa" w:w="831"/>
          </w:tcPr>
          <w:p>
            <w:pPr>
              <w:pStyle w:val="null3"/>
              <w:jc w:val="right"/>
            </w:pPr>
            <w:r>
              <w:rPr>
                <w:rFonts w:ascii="仿宋_GB2312" w:hAnsi="仿宋_GB2312" w:cs="仿宋_GB2312" w:eastAsia="仿宋_GB2312"/>
              </w:rPr>
              <w:t>15.00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根据各投标人所投货物对第五章《招标内容及要求》“二、技术和服务要求”中采购包1标示符号的各项要求的响应情况由评委进行评议并打分， 完全满足招标文件技术和服务要求的得15分，其中， ①以“★”标示的内容为必备参数，不允许负偏离的实质性要求，任一参数有负偏离或未响应的按无效投标处理； ②标示有“▲”的技术参数为重点参数（共计5项）每负偏离一项扣3分；正偏离不加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2.技术和服务要求响应2</w:t>
            </w:r>
          </w:p>
        </w:tc>
        <w:tc>
          <w:tcPr>
            <w:tcW w:type="dxa" w:w="831"/>
          </w:tcPr>
          <w:p>
            <w:pPr>
              <w:pStyle w:val="null3"/>
              <w:jc w:val="right"/>
            </w:pPr>
            <w:r>
              <w:rPr>
                <w:rFonts w:ascii="仿宋_GB2312" w:hAnsi="仿宋_GB2312" w:cs="仿宋_GB2312" w:eastAsia="仿宋_GB2312"/>
              </w:rPr>
              <w:t>45.00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根据各投标人所投货物对第五章《招标内容及要求》“二、技术和服务要求”中采购包1未标示符号的各项要求的响应情况由评委进行评议并打分， 完全满足招标文件技术和服务要求的得45分，其中，未标示符号的为一般参数（共30项，以“★”和“▲”标示的技术参数的技术参数除外），每负偏离一项扣1.50分；正偏离不加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根据各投标人所提供自2022年1月1日至本次投标截止日期（日期以验收证明为准）由投标人在国内所完成的与本次投标同类业绩情况，由评委进行评分：每提供一份完整合格的业绩项目得1分, 满分3分。【业绩项目中须含中标或成交公告（提供相关网站中标或成交公告的下载网页并注明网址）、中标或成交通知书复印件、采购合同文本复印件，以及能够证明该业绩项目已经采购人验收合格的相关证明文件复印件，未同时提供以上各项证明材料的，该项业绩不给予计分。）。（投标人在投标文件中应如实提供销售业绩项目证明文件的复印件，采购人将保留要求投标人提供销售业绩项目的证明文件原件予以核查的权利。】</w:t>
            </w:r>
          </w:p>
        </w:tc>
      </w:tr>
      <w:tr>
        <w:tc>
          <w:tcPr>
            <w:tcW w:type="dxa" w:w="3322"/>
          </w:tcPr>
          <w:p>
            <w:pPr>
              <w:pStyle w:val="null3"/>
              <w:jc w:val="left"/>
            </w:pPr>
            <w:r>
              <w:rPr>
                <w:rFonts w:ascii="仿宋_GB2312" w:hAnsi="仿宋_GB2312" w:cs="仿宋_GB2312" w:eastAsia="仿宋_GB2312"/>
              </w:rPr>
              <w:t>2.质保期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投标人在响应招标文件要求的质保期年限基础上另外再延长质保期年限的：整个采购包每增加一年得0.5分，满分1分。【须提供承诺函，否则不得分】</w:t>
            </w:r>
          </w:p>
        </w:tc>
      </w:tr>
      <w:tr>
        <w:tc>
          <w:tcPr>
            <w:tcW w:type="dxa" w:w="3322"/>
          </w:tcPr>
          <w:p>
            <w:pPr>
              <w:pStyle w:val="null3"/>
              <w:jc w:val="left"/>
            </w:pPr>
            <w:r>
              <w:rPr>
                <w:rFonts w:ascii="仿宋_GB2312" w:hAnsi="仿宋_GB2312" w:cs="仿宋_GB2312" w:eastAsia="仿宋_GB2312"/>
              </w:rPr>
              <w:t>3..培训计划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的投标文件中对采购人的管理人员、操作人员及设备维护人员进行培训、学术支持等承诺情况，由评委进行评分：方案内容能够完整、清晰阐述项目实施基础方案内容的同时确保方案实施的基础上增加有利于项目执行内容的得3.0分；方案内容能够完整、清晰的阐述了基本要求且符合项目实际操作的得2.5分；有提供方案，但阐述内容未完整响应基本要求或方案阐述简短的得2.0分；未提供的不得分。</w:t>
            </w:r>
          </w:p>
        </w:tc>
      </w:tr>
      <w:tr>
        <w:tc>
          <w:tcPr>
            <w:tcW w:type="dxa" w:w="3322"/>
          </w:tcPr>
          <w:p>
            <w:pPr>
              <w:pStyle w:val="null3"/>
              <w:jc w:val="left"/>
            </w:pPr>
            <w:r>
              <w:rPr>
                <w:rFonts w:ascii="仿宋_GB2312" w:hAnsi="仿宋_GB2312" w:cs="仿宋_GB2312" w:eastAsia="仿宋_GB2312"/>
              </w:rPr>
              <w:t>4.售后人员配备情况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根据投标人针对本项目配备的售后服务人员资质、专业人员配备情况及现有维修服务能力由评委进行评分：提供的方案完整、详细、具体、可行性强的得3.0分； 提供的方案不够周全详细、具体、完善、可行性一般的得2.5分；提供的方案不周全详细、具体、可行性较差的得2.0分；未提供的不得分。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投标人为本次项目提供的产品必须通过合法渠道获得，具有在中国境内的合法使用权和用户保护权，所有货物必须为全新原装货物。保证所提供的货物是全新的、未使用过的原装设备，在各个方面符合规定的质量、规格和性能要求。保证货物经过正确安装、合理操作和维护保养，在货物寿命期内运转良好</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2、本项目报价：包括但不限于设备费、运输费、安装费、管理费、税金、保险等一切费用。</w:t>
      </w:r>
    </w:p>
    <w:p>
      <w:pPr>
        <w:pStyle w:val="null3"/>
        <w:ind w:firstLine="480"/>
        <w:jc w:val="both"/>
      </w:pPr>
      <w:r>
        <w:rPr>
          <w:rFonts w:ascii="仿宋_GB2312" w:hAnsi="仿宋_GB2312" w:cs="仿宋_GB2312" w:eastAsia="仿宋_GB2312"/>
          <w:sz w:val="24"/>
          <w:shd w:fill="FFFFFF" w:val="clear"/>
        </w:rPr>
        <w:t>3、本项目核心产品为序号1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麻醉机、</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麻醉机</w:t>
      </w:r>
      <w:r>
        <w:rPr>
          <w:rFonts w:ascii="仿宋_GB2312" w:hAnsi="仿宋_GB2312" w:cs="仿宋_GB2312" w:eastAsia="仿宋_GB2312"/>
          <w:sz w:val="24"/>
          <w:shd w:fill="FFFFFF" w:val="clear"/>
        </w:rPr>
        <w:t>。</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一、</w:t>
      </w:r>
      <w:r>
        <w:rPr>
          <w:rFonts w:ascii="仿宋_GB2312" w:hAnsi="仿宋_GB2312" w:cs="仿宋_GB2312" w:eastAsia="仿宋_GB2312"/>
          <w:sz w:val="24"/>
          <w:b/>
        </w:rPr>
        <w:t>1-1麻醉机：</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≥15英寸彩色触摸屏，显示屏可在水平方向360度旋转，俯仰角度可调节，电容触摸屏，支持手势操作，可同屏显示波形和呼吸环图，支持显示P-V，V-F，P-F三种类型环图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2）2.</w:t>
      </w:r>
      <w:r>
        <w:rPr>
          <w:rFonts w:ascii="仿宋_GB2312" w:hAnsi="仿宋_GB2312" w:cs="仿宋_GB2312" w:eastAsia="仿宋_GB2312"/>
          <w:sz w:val="21"/>
          <w:b/>
        </w:rPr>
        <w:t>★用于对成人、儿童和新生儿的吸入麻醉及呼吸管理。标配一个七氟醚蒸发器，可选配地氟醚蒸发器。具备二氧化碳吸收罐，容积≤1500ml。（须提供说明书或彩页或注册证等佐证材料）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w:t>
      </w:r>
      <w:r>
        <w:rPr>
          <w:rFonts w:ascii="仿宋_GB2312" w:hAnsi="仿宋_GB2312" w:cs="仿宋_GB2312" w:eastAsia="仿宋_GB2312"/>
          <w:sz w:val="21"/>
        </w:rPr>
        <w:t>3.</w:t>
      </w:r>
      <w:r>
        <w:rPr>
          <w:rFonts w:ascii="仿宋_GB2312" w:hAnsi="仿宋_GB2312" w:cs="仿宋_GB2312" w:eastAsia="仿宋_GB2312"/>
          <w:sz w:val="21"/>
        </w:rPr>
        <w:t>呼吸频率：</w:t>
      </w:r>
      <w:r>
        <w:rPr>
          <w:rFonts w:ascii="仿宋_GB2312" w:hAnsi="仿宋_GB2312" w:cs="仿宋_GB2312" w:eastAsia="仿宋_GB2312"/>
          <w:sz w:val="21"/>
        </w:rPr>
        <w:t>2-100次/分钟，呼气末正压设置PEEP范围：OFF，2-50 cmH2O</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4）</w:t>
      </w:r>
      <w:r>
        <w:rPr>
          <w:rFonts w:ascii="仿宋_GB2312" w:hAnsi="仿宋_GB2312" w:cs="仿宋_GB2312" w:eastAsia="仿宋_GB2312"/>
          <w:sz w:val="21"/>
        </w:rPr>
        <w:t>4.</w:t>
      </w:r>
      <w:r>
        <w:rPr>
          <w:rFonts w:ascii="仿宋_GB2312" w:hAnsi="仿宋_GB2312" w:cs="仿宋_GB2312" w:eastAsia="仿宋_GB2312"/>
          <w:sz w:val="21"/>
        </w:rPr>
        <w:t>配备高频喷射通气功能，提供高频叠加常频喷射通气模式，或提供高频喷射单机，并且支持高频叠加常频通气连接同一通气附件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5）5.</w:t>
      </w:r>
      <w:r>
        <w:rPr>
          <w:rFonts w:ascii="仿宋_GB2312" w:hAnsi="仿宋_GB2312" w:cs="仿宋_GB2312" w:eastAsia="仿宋_GB2312"/>
          <w:sz w:val="21"/>
        </w:rPr>
        <w:t>配备肺保护工具：支持两种复张手法</w:t>
      </w:r>
      <w:r>
        <w:rPr>
          <w:rFonts w:ascii="仿宋_GB2312" w:hAnsi="仿宋_GB2312" w:cs="仿宋_GB2312" w:eastAsia="仿宋_GB2312"/>
          <w:sz w:val="21"/>
        </w:rPr>
        <w:t>——单周期和多周期，支持定时膨肺功能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6）</w:t>
      </w:r>
      <w:r>
        <w:rPr>
          <w:rFonts w:ascii="仿宋_GB2312" w:hAnsi="仿宋_GB2312" w:cs="仿宋_GB2312" w:eastAsia="仿宋_GB2312"/>
          <w:sz w:val="21"/>
          <w:b/>
        </w:rPr>
        <w:t>6.</w:t>
      </w:r>
      <w:r>
        <w:rPr>
          <w:rFonts w:ascii="仿宋_GB2312" w:hAnsi="仿宋_GB2312" w:cs="仿宋_GB2312" w:eastAsia="仿宋_GB2312"/>
          <w:sz w:val="21"/>
        </w:rPr>
        <w:t>可支持升级麻醉趋势图功能，可显示未来</w:t>
      </w:r>
      <w:r>
        <w:rPr>
          <w:rFonts w:ascii="仿宋_GB2312" w:hAnsi="仿宋_GB2312" w:cs="仿宋_GB2312" w:eastAsia="仿宋_GB2312"/>
          <w:sz w:val="21"/>
        </w:rPr>
        <w:t>20分钟内吸入呼出麻药浓度和氧浓度的趋势预测曲线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7）7.</w:t>
      </w:r>
      <w:r>
        <w:rPr>
          <w:rFonts w:ascii="仿宋_GB2312" w:hAnsi="仿宋_GB2312" w:cs="仿宋_GB2312" w:eastAsia="仿宋_GB2312"/>
          <w:sz w:val="21"/>
        </w:rPr>
        <w:t>可支持升级高流量给氧功能，流量最高可至</w:t>
      </w:r>
      <w:r>
        <w:rPr>
          <w:rFonts w:ascii="仿宋_GB2312" w:hAnsi="仿宋_GB2312" w:cs="仿宋_GB2312" w:eastAsia="仿宋_GB2312"/>
          <w:sz w:val="21"/>
        </w:rPr>
        <w:t>50 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8）8.</w:t>
      </w:r>
      <w:r>
        <w:rPr>
          <w:rFonts w:ascii="仿宋_GB2312" w:hAnsi="仿宋_GB2312" w:cs="仿宋_GB2312" w:eastAsia="仿宋_GB2312"/>
          <w:sz w:val="21"/>
        </w:rPr>
        <w:t>可连接监护仪、输注泵，全面监测病人生命体征，监护仪参数可显示在麻醉机上，可在麻醉机屏幕上调节输注泵设置参数，可基于药代药效模型计算吸入麻药和静脉麻药的综合药效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9）9.</w:t>
      </w:r>
      <w:r>
        <w:rPr>
          <w:rFonts w:ascii="仿宋_GB2312" w:hAnsi="仿宋_GB2312" w:cs="仿宋_GB2312" w:eastAsia="仿宋_GB2312"/>
          <w:sz w:val="21"/>
        </w:rPr>
        <w:t>内置</w:t>
      </w:r>
      <w:r>
        <w:rPr>
          <w:rFonts w:ascii="仿宋_GB2312" w:hAnsi="仿宋_GB2312" w:cs="仿宋_GB2312" w:eastAsia="仿宋_GB2312"/>
          <w:sz w:val="21"/>
        </w:rPr>
        <w:t>≥3槽位插件槽，可直接热插拔插件，插件可在同品牌监护仪和麻醉机之间通用，可配备插件：AG麻醉气体模块、 EtCO2，可单独选配EtCO2插件，以适应全凭静脉无需监测麻醉气体的需求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10）10.</w:t>
      </w:r>
      <w:r>
        <w:rPr>
          <w:rFonts w:ascii="仿宋_GB2312" w:hAnsi="仿宋_GB2312" w:cs="仿宋_GB2312" w:eastAsia="仿宋_GB2312"/>
          <w:sz w:val="21"/>
        </w:rPr>
        <w:t>配备锂电池</w:t>
      </w:r>
      <w:r>
        <w:rPr>
          <w:rFonts w:ascii="仿宋_GB2312" w:hAnsi="仿宋_GB2312" w:cs="仿宋_GB2312" w:eastAsia="仿宋_GB2312"/>
          <w:sz w:val="21"/>
        </w:rPr>
        <w:t>≥1块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11）11.</w:t>
      </w:r>
      <w:r>
        <w:rPr>
          <w:rFonts w:ascii="仿宋_GB2312" w:hAnsi="仿宋_GB2312" w:cs="仿宋_GB2312" w:eastAsia="仿宋_GB2312"/>
          <w:sz w:val="21"/>
        </w:rPr>
        <w:t>接口：配备</w:t>
      </w:r>
      <w:r>
        <w:rPr>
          <w:rFonts w:ascii="仿宋_GB2312" w:hAnsi="仿宋_GB2312" w:cs="仿宋_GB2312" w:eastAsia="仿宋_GB2312"/>
          <w:sz w:val="21"/>
        </w:rPr>
        <w:t>LAN接口支持网络和软件升级，配备RS-232接口、视频信号接口、USB接口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1-2麻醉机：</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12）12.</w:t>
      </w:r>
      <w:r>
        <w:rPr>
          <w:rFonts w:ascii="仿宋_GB2312" w:hAnsi="仿宋_GB2312" w:cs="仿宋_GB2312" w:eastAsia="仿宋_GB2312"/>
          <w:sz w:val="21"/>
        </w:rPr>
        <w:t>≥15英寸彩色触摸屏，显示屏可在水平方向360度旋转，俯仰角度可调节，电容触摸屏，支持手势操作，可同屏显示波形和呼吸环图，支持显示P-V，V-F，P-F三种类型环图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13）13.</w:t>
      </w:r>
      <w:r>
        <w:rPr>
          <w:rFonts w:ascii="仿宋_GB2312" w:hAnsi="仿宋_GB2312" w:cs="仿宋_GB2312" w:eastAsia="仿宋_GB2312"/>
          <w:sz w:val="21"/>
          <w:b/>
        </w:rPr>
        <w:t>★用于对成人、儿童和新生儿的吸入麻醉及呼吸管理。标配一个七氟醚蒸发器，可选配地氟醚蒸发器。具备二氧化碳吸收罐，容积≤1500ml。（须提供说明书或彩页或注册证等佐证材料）</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14）</w:t>
      </w:r>
      <w:r>
        <w:rPr>
          <w:rFonts w:ascii="仿宋_GB2312" w:hAnsi="仿宋_GB2312" w:cs="仿宋_GB2312" w:eastAsia="仿宋_GB2312"/>
          <w:sz w:val="21"/>
        </w:rPr>
        <w:t>14.</w:t>
      </w:r>
      <w:r>
        <w:rPr>
          <w:rFonts w:ascii="仿宋_GB2312" w:hAnsi="仿宋_GB2312" w:cs="仿宋_GB2312" w:eastAsia="仿宋_GB2312"/>
          <w:sz w:val="21"/>
        </w:rPr>
        <w:t>具备心肺旁流模式</w:t>
      </w:r>
      <w:r>
        <w:rPr>
          <w:rFonts w:ascii="仿宋_GB2312" w:hAnsi="仿宋_GB2312" w:cs="仿宋_GB2312" w:eastAsia="仿宋_GB2312"/>
          <w:sz w:val="21"/>
        </w:rPr>
        <w:t>CPB, 且心旁流模式可在手动通气模式和VCV、PCV机控通气模式下启动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15）</w:t>
      </w:r>
      <w:r>
        <w:rPr>
          <w:rFonts w:ascii="仿宋_GB2312" w:hAnsi="仿宋_GB2312" w:cs="仿宋_GB2312" w:eastAsia="仿宋_GB2312"/>
          <w:sz w:val="21"/>
        </w:rPr>
        <w:t>15.</w:t>
      </w:r>
      <w:r>
        <w:rPr>
          <w:rFonts w:ascii="仿宋_GB2312" w:hAnsi="仿宋_GB2312" w:cs="仿宋_GB2312" w:eastAsia="仿宋_GB2312"/>
          <w:sz w:val="21"/>
        </w:rPr>
        <w:t>呼吸频率：</w:t>
      </w:r>
      <w:r>
        <w:rPr>
          <w:rFonts w:ascii="仿宋_GB2312" w:hAnsi="仿宋_GB2312" w:cs="仿宋_GB2312" w:eastAsia="仿宋_GB2312"/>
          <w:sz w:val="21"/>
        </w:rPr>
        <w:t>2-100次/分钟，呼气末正压设置PEEP范围：OFF，2-50 cmH2O</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16）</w:t>
      </w:r>
      <w:r>
        <w:rPr>
          <w:rFonts w:ascii="仿宋_GB2312" w:hAnsi="仿宋_GB2312" w:cs="仿宋_GB2312" w:eastAsia="仿宋_GB2312"/>
          <w:sz w:val="21"/>
        </w:rPr>
        <w:t>16.</w:t>
      </w:r>
      <w:r>
        <w:rPr>
          <w:rFonts w:ascii="仿宋_GB2312" w:hAnsi="仿宋_GB2312" w:cs="仿宋_GB2312" w:eastAsia="仿宋_GB2312"/>
          <w:sz w:val="21"/>
        </w:rPr>
        <w:t>配备肺保护工具：支持两种复张手法</w:t>
      </w:r>
      <w:r>
        <w:rPr>
          <w:rFonts w:ascii="仿宋_GB2312" w:hAnsi="仿宋_GB2312" w:cs="仿宋_GB2312" w:eastAsia="仿宋_GB2312"/>
          <w:sz w:val="21"/>
        </w:rPr>
        <w:t>——单周期和多周期，支持定时膨肺功能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17）17.</w:t>
      </w:r>
      <w:r>
        <w:rPr>
          <w:rFonts w:ascii="仿宋_GB2312" w:hAnsi="仿宋_GB2312" w:cs="仿宋_GB2312" w:eastAsia="仿宋_GB2312"/>
          <w:sz w:val="21"/>
        </w:rPr>
        <w:t>可支持升级麻醉趋势图功能，可显示未来</w:t>
      </w:r>
      <w:r>
        <w:rPr>
          <w:rFonts w:ascii="仿宋_GB2312" w:hAnsi="仿宋_GB2312" w:cs="仿宋_GB2312" w:eastAsia="仿宋_GB2312"/>
          <w:sz w:val="21"/>
        </w:rPr>
        <w:t>20分钟内吸入呼出麻药浓度和氧浓度的趋势预测曲线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18）</w:t>
      </w:r>
      <w:r>
        <w:rPr>
          <w:rFonts w:ascii="仿宋_GB2312" w:hAnsi="仿宋_GB2312" w:cs="仿宋_GB2312" w:eastAsia="仿宋_GB2312"/>
          <w:sz w:val="21"/>
        </w:rPr>
        <w:t>18.</w:t>
      </w:r>
      <w:r>
        <w:rPr>
          <w:rFonts w:ascii="仿宋_GB2312" w:hAnsi="仿宋_GB2312" w:cs="仿宋_GB2312" w:eastAsia="仿宋_GB2312"/>
          <w:sz w:val="21"/>
        </w:rPr>
        <w:t>可支持升级高频喷射通气功能，提供高频叠加常频喷射通气模式，或提供高频喷射单机，并且支持高频叠加常频通气连接同一通气附件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19）19.</w:t>
      </w:r>
      <w:r>
        <w:rPr>
          <w:rFonts w:ascii="仿宋_GB2312" w:hAnsi="仿宋_GB2312" w:cs="仿宋_GB2312" w:eastAsia="仿宋_GB2312"/>
          <w:sz w:val="21"/>
          <w:b/>
        </w:rPr>
        <w:t>▲标配内置高流量给氧功能，流量最高可至50 L/min（须提供说明书或彩页或注册证等佐证材料）</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20）</w:t>
      </w:r>
      <w:r>
        <w:rPr>
          <w:rFonts w:ascii="仿宋_GB2312" w:hAnsi="仿宋_GB2312" w:cs="仿宋_GB2312" w:eastAsia="仿宋_GB2312"/>
          <w:sz w:val="21"/>
        </w:rPr>
        <w:t>20.</w:t>
      </w:r>
      <w:r>
        <w:rPr>
          <w:rFonts w:ascii="仿宋_GB2312" w:hAnsi="仿宋_GB2312" w:cs="仿宋_GB2312" w:eastAsia="仿宋_GB2312"/>
          <w:sz w:val="21"/>
        </w:rPr>
        <w:t>可连接监护仪、输注泵，全面监测病人生命体征，监护仪参数可显示在麻醉机上，可在麻醉机屏幕上调节输注泵设置参数，可基于药代药效模型计算吸入麻药和静脉麻药的综合药效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21）</w:t>
      </w:r>
      <w:r>
        <w:rPr>
          <w:rFonts w:ascii="仿宋_GB2312" w:hAnsi="仿宋_GB2312" w:cs="仿宋_GB2312" w:eastAsia="仿宋_GB2312"/>
          <w:sz w:val="21"/>
        </w:rPr>
        <w:t>21.</w:t>
      </w:r>
      <w:r>
        <w:rPr>
          <w:rFonts w:ascii="仿宋_GB2312" w:hAnsi="仿宋_GB2312" w:cs="仿宋_GB2312" w:eastAsia="仿宋_GB2312"/>
          <w:sz w:val="21"/>
        </w:rPr>
        <w:t>内置</w:t>
      </w:r>
      <w:r>
        <w:rPr>
          <w:rFonts w:ascii="仿宋_GB2312" w:hAnsi="仿宋_GB2312" w:cs="仿宋_GB2312" w:eastAsia="仿宋_GB2312"/>
          <w:sz w:val="21"/>
        </w:rPr>
        <w:t>≥3槽位插件槽，可直接热插拔插件，插件可在同品牌监护仪和麻醉机之间通用，可配备插件：AG麻醉气体模块、 EtCO2，可单独选配EtCO2插件，以适应全凭静脉无需监测麻醉气体的需求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22）</w:t>
      </w:r>
      <w:r>
        <w:rPr>
          <w:rFonts w:ascii="仿宋_GB2312" w:hAnsi="仿宋_GB2312" w:cs="仿宋_GB2312" w:eastAsia="仿宋_GB2312"/>
          <w:sz w:val="21"/>
        </w:rPr>
        <w:t>22.</w:t>
      </w:r>
      <w:r>
        <w:rPr>
          <w:rFonts w:ascii="仿宋_GB2312" w:hAnsi="仿宋_GB2312" w:cs="仿宋_GB2312" w:eastAsia="仿宋_GB2312"/>
          <w:sz w:val="21"/>
        </w:rPr>
        <w:t>配备锂电池</w:t>
      </w:r>
      <w:r>
        <w:rPr>
          <w:rFonts w:ascii="仿宋_GB2312" w:hAnsi="仿宋_GB2312" w:cs="仿宋_GB2312" w:eastAsia="仿宋_GB2312"/>
          <w:sz w:val="21"/>
        </w:rPr>
        <w:t>≥1块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23）</w:t>
      </w:r>
      <w:r>
        <w:rPr>
          <w:rFonts w:ascii="仿宋_GB2312" w:hAnsi="仿宋_GB2312" w:cs="仿宋_GB2312" w:eastAsia="仿宋_GB2312"/>
          <w:sz w:val="21"/>
        </w:rPr>
        <w:t>23.</w:t>
      </w:r>
      <w:r>
        <w:rPr>
          <w:rFonts w:ascii="仿宋_GB2312" w:hAnsi="仿宋_GB2312" w:cs="仿宋_GB2312" w:eastAsia="仿宋_GB2312"/>
          <w:sz w:val="21"/>
        </w:rPr>
        <w:t>接口：配备</w:t>
      </w:r>
      <w:r>
        <w:rPr>
          <w:rFonts w:ascii="仿宋_GB2312" w:hAnsi="仿宋_GB2312" w:cs="仿宋_GB2312" w:eastAsia="仿宋_GB2312"/>
          <w:sz w:val="21"/>
        </w:rPr>
        <w:t>LAN接口支持网络和软件升级，配备RS-232接口、视频信号接口、USB接口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1-3加温毯</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24）</w:t>
      </w:r>
      <w:r>
        <w:rPr>
          <w:rFonts w:ascii="仿宋_GB2312" w:hAnsi="仿宋_GB2312" w:cs="仿宋_GB2312" w:eastAsia="仿宋_GB2312"/>
          <w:sz w:val="21"/>
        </w:rPr>
        <w:t>24.</w:t>
      </w:r>
      <w:r>
        <w:rPr>
          <w:rFonts w:ascii="仿宋_GB2312" w:hAnsi="仿宋_GB2312" w:cs="仿宋_GB2312" w:eastAsia="仿宋_GB2312"/>
          <w:sz w:val="21"/>
        </w:rPr>
        <w:t>充热空气式加温，主机面板具有一键式温度设置自然风键、</w:t>
      </w:r>
      <w:r>
        <w:rPr>
          <w:rFonts w:ascii="仿宋_GB2312" w:hAnsi="仿宋_GB2312" w:cs="仿宋_GB2312" w:eastAsia="仿宋_GB2312"/>
          <w:sz w:val="21"/>
        </w:rPr>
        <w:t>38℃、43℃快捷键，温度调节范围33-43℃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25）</w:t>
      </w:r>
      <w:r>
        <w:rPr>
          <w:rFonts w:ascii="仿宋_GB2312" w:hAnsi="仿宋_GB2312" w:cs="仿宋_GB2312" w:eastAsia="仿宋_GB2312"/>
          <w:sz w:val="21"/>
        </w:rPr>
        <w:t>25.</w:t>
      </w:r>
      <w:r>
        <w:rPr>
          <w:rFonts w:ascii="仿宋_GB2312" w:hAnsi="仿宋_GB2312" w:cs="仿宋_GB2312" w:eastAsia="仿宋_GB2312"/>
          <w:sz w:val="24"/>
        </w:rPr>
        <w:t>①</w:t>
      </w:r>
      <w:r>
        <w:rPr>
          <w:rFonts w:ascii="仿宋_GB2312" w:hAnsi="仿宋_GB2312" w:cs="仿宋_GB2312" w:eastAsia="仿宋_GB2312"/>
          <w:sz w:val="24"/>
        </w:rPr>
        <w:t>具有一次性毯子和重复用毯子，重复用毯子可高温高压消毒、浸泡消毒，符合院感要求</w:t>
      </w:r>
      <w:r>
        <w:rPr>
          <w:rFonts w:ascii="仿宋_GB2312" w:hAnsi="仿宋_GB2312" w:cs="仿宋_GB2312" w:eastAsia="仿宋_GB2312"/>
          <w:sz w:val="21"/>
        </w:rPr>
        <w:t>。</w:t>
      </w:r>
      <w:r>
        <w:rPr>
          <w:rFonts w:ascii="仿宋_GB2312" w:hAnsi="仿宋_GB2312" w:cs="仿宋_GB2312" w:eastAsia="仿宋_GB2312"/>
          <w:sz w:val="24"/>
        </w:rPr>
        <w:t>②</w:t>
      </w:r>
      <w:r>
        <w:rPr>
          <w:rFonts w:ascii="仿宋_GB2312" w:hAnsi="仿宋_GB2312" w:cs="仿宋_GB2312" w:eastAsia="仿宋_GB2312"/>
          <w:sz w:val="24"/>
        </w:rPr>
        <w:t>具有空气过滤器，滤过颗粒直径</w:t>
      </w:r>
      <w:r>
        <w:rPr>
          <w:rFonts w:ascii="仿宋_GB2312" w:hAnsi="仿宋_GB2312" w:cs="仿宋_GB2312" w:eastAsia="仿宋_GB2312"/>
          <w:sz w:val="24"/>
        </w:rPr>
        <w:t>≤0.2μm</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1-4输液加温仪</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26）</w:t>
      </w:r>
      <w:r>
        <w:rPr>
          <w:rFonts w:ascii="仿宋_GB2312" w:hAnsi="仿宋_GB2312" w:cs="仿宋_GB2312" w:eastAsia="仿宋_GB2312"/>
          <w:sz w:val="21"/>
        </w:rPr>
        <w:t>26.</w:t>
      </w:r>
      <w:r>
        <w:rPr>
          <w:rFonts w:ascii="仿宋_GB2312" w:hAnsi="仿宋_GB2312" w:cs="仿宋_GB2312" w:eastAsia="仿宋_GB2312"/>
          <w:sz w:val="21"/>
        </w:rPr>
        <w:t>硅胶包裹式加温，直接加温常规输血输液管路，无需专用耗材，节约成本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27）</w:t>
      </w:r>
      <w:r>
        <w:rPr>
          <w:rFonts w:ascii="仿宋_GB2312" w:hAnsi="仿宋_GB2312" w:cs="仿宋_GB2312" w:eastAsia="仿宋_GB2312"/>
          <w:sz w:val="21"/>
        </w:rPr>
        <w:t>27.</w:t>
      </w:r>
      <w:r>
        <w:rPr>
          <w:rFonts w:ascii="仿宋_GB2312" w:hAnsi="仿宋_GB2312" w:cs="仿宋_GB2312" w:eastAsia="仿宋_GB2312"/>
          <w:sz w:val="24"/>
        </w:rPr>
        <w:t>①</w:t>
      </w:r>
      <w:r>
        <w:rPr>
          <w:rFonts w:ascii="仿宋_GB2312" w:hAnsi="仿宋_GB2312" w:cs="仿宋_GB2312" w:eastAsia="仿宋_GB2312"/>
          <w:sz w:val="24"/>
        </w:rPr>
        <w:t>液晶显示屏，可显示全部工作信息（包含当前温度、设定温度、报警信息等）</w:t>
      </w:r>
      <w:r>
        <w:rPr>
          <w:rFonts w:ascii="仿宋_GB2312" w:hAnsi="仿宋_GB2312" w:cs="仿宋_GB2312" w:eastAsia="仿宋_GB2312"/>
          <w:sz w:val="21"/>
        </w:rPr>
        <w:t>。</w:t>
      </w:r>
      <w:r>
        <w:rPr>
          <w:rFonts w:ascii="仿宋_GB2312" w:hAnsi="仿宋_GB2312" w:cs="仿宋_GB2312" w:eastAsia="仿宋_GB2312"/>
          <w:sz w:val="24"/>
        </w:rPr>
        <w:t>②</w:t>
      </w:r>
      <w:r>
        <w:rPr>
          <w:rFonts w:ascii="仿宋_GB2312" w:hAnsi="仿宋_GB2312" w:cs="仿宋_GB2312" w:eastAsia="仿宋_GB2312"/>
          <w:sz w:val="24"/>
        </w:rPr>
        <w:t>加温条可插拔，方便售后维护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b/>
        </w:rPr>
        <w:t>五、病人监护仪</w:t>
      </w:r>
    </w:p>
    <w:p>
      <w:pPr>
        <w:pStyle w:val="null3"/>
        <w:jc w:val="both"/>
      </w:pPr>
      <w:r>
        <w:rPr>
          <w:rFonts w:ascii="仿宋_GB2312" w:hAnsi="仿宋_GB2312" w:cs="仿宋_GB2312" w:eastAsia="仿宋_GB2312"/>
          <w:sz w:val="24"/>
          <w:b/>
        </w:rPr>
        <w:t>1-5麻醉深度监护仪（BIS监测仪）</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28）</w:t>
      </w:r>
      <w:r>
        <w:rPr>
          <w:rFonts w:ascii="仿宋_GB2312" w:hAnsi="仿宋_GB2312" w:cs="仿宋_GB2312" w:eastAsia="仿宋_GB2312"/>
          <w:sz w:val="21"/>
        </w:rPr>
        <w:t>28.</w:t>
      </w:r>
      <w:r>
        <w:rPr>
          <w:rFonts w:ascii="仿宋_GB2312" w:hAnsi="仿宋_GB2312" w:cs="仿宋_GB2312" w:eastAsia="仿宋_GB2312"/>
          <w:sz w:val="21"/>
        </w:rPr>
        <w:t>模块化插件式床边监护仪，主机、显示屏和插件槽一体化设计，主机工作温度环境范围：</w:t>
      </w:r>
      <w:r>
        <w:rPr>
          <w:rFonts w:ascii="仿宋_GB2312" w:hAnsi="仿宋_GB2312" w:cs="仿宋_GB2312" w:eastAsia="仿宋_GB2312"/>
          <w:sz w:val="21"/>
        </w:rPr>
        <w:t>0～40°C，主机模块插槽数≥4个，≥15英寸彩色电容触摸屏，高分辨率≥1280×800像素，≥8通道显示，显示屏亮度自动调节，屏幕支持手势滑动操作，支持穿戴医用防护手套操作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29）29.</w:t>
      </w:r>
      <w:r>
        <w:rPr>
          <w:rFonts w:ascii="仿宋_GB2312" w:hAnsi="仿宋_GB2312" w:cs="仿宋_GB2312" w:eastAsia="仿宋_GB2312"/>
          <w:sz w:val="21"/>
          <w:b/>
        </w:rPr>
        <w:t>▲支持室上性心动过速和</w:t>
      </w:r>
      <w:r>
        <w:rPr>
          <w:rFonts w:ascii="仿宋_GB2312" w:hAnsi="仿宋_GB2312" w:cs="仿宋_GB2312" w:eastAsia="仿宋_GB2312"/>
          <w:sz w:val="21"/>
          <w:b/>
        </w:rPr>
        <w:t>SVCs/min等室上性心律失常分析</w:t>
      </w:r>
      <w:r>
        <w:rPr>
          <w:rFonts w:ascii="仿宋_GB2312" w:hAnsi="仿宋_GB2312" w:cs="仿宋_GB2312" w:eastAsia="仿宋_GB2312"/>
          <w:sz w:val="21"/>
          <w:b/>
        </w:rPr>
        <w:t>（须提供说明书或彩页或注册证等佐证材料）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30）</w:t>
      </w:r>
      <w:r>
        <w:rPr>
          <w:rFonts w:ascii="仿宋_GB2312" w:hAnsi="仿宋_GB2312" w:cs="仿宋_GB2312" w:eastAsia="仿宋_GB2312"/>
          <w:sz w:val="21"/>
        </w:rPr>
        <w:t>30.配置指套式血氧探头，支持浸泡清洁与消毒</w:t>
      </w:r>
      <w:r>
        <w:rPr>
          <w:rFonts w:ascii="仿宋_GB2312" w:hAnsi="仿宋_GB2312" w:cs="仿宋_GB2312" w:eastAsia="仿宋_GB2312"/>
          <w:sz w:val="21"/>
        </w:rPr>
        <w:t>，</w:t>
      </w:r>
      <w:r>
        <w:rPr>
          <w:rFonts w:ascii="仿宋_GB2312" w:hAnsi="仿宋_GB2312" w:cs="仿宋_GB2312" w:eastAsia="仿宋_GB2312"/>
          <w:sz w:val="21"/>
        </w:rPr>
        <w:t>防水等级</w:t>
      </w:r>
      <w:r>
        <w:rPr>
          <w:rFonts w:ascii="仿宋_GB2312" w:hAnsi="仿宋_GB2312" w:cs="仿宋_GB2312" w:eastAsia="仿宋_GB2312"/>
          <w:sz w:val="21"/>
        </w:rPr>
        <w:t>IPX7</w:t>
      </w:r>
      <w:r>
        <w:rPr>
          <w:rFonts w:ascii="仿宋_GB2312" w:hAnsi="仿宋_GB2312" w:cs="仿宋_GB2312" w:eastAsia="仿宋_GB2312"/>
          <w:sz w:val="21"/>
        </w:rPr>
        <w:t>，</w:t>
      </w:r>
      <w:r>
        <w:rPr>
          <w:rFonts w:ascii="仿宋_GB2312" w:hAnsi="仿宋_GB2312" w:cs="仿宋_GB2312" w:eastAsia="仿宋_GB2312"/>
          <w:sz w:val="21"/>
        </w:rPr>
        <w:t>监护仪清洁消毒维护支持的消毒剂</w:t>
      </w:r>
      <w:r>
        <w:rPr>
          <w:rFonts w:ascii="仿宋_GB2312" w:hAnsi="仿宋_GB2312" w:cs="仿宋_GB2312" w:eastAsia="仿宋_GB2312"/>
          <w:sz w:val="21"/>
        </w:rPr>
        <w:t>≥5种。</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31）31.</w:t>
      </w:r>
      <w:r>
        <w:rPr>
          <w:rFonts w:ascii="仿宋_GB2312" w:hAnsi="仿宋_GB2312" w:cs="仿宋_GB2312" w:eastAsia="仿宋_GB2312"/>
          <w:sz w:val="21"/>
          <w:b/>
        </w:rPr>
        <w:t>▲</w:t>
      </w:r>
      <w:r>
        <w:rPr>
          <w:rFonts w:ascii="仿宋_GB2312" w:hAnsi="仿宋_GB2312" w:cs="仿宋_GB2312" w:eastAsia="仿宋_GB2312"/>
          <w:sz w:val="21"/>
          <w:b/>
        </w:rPr>
        <w:t>心电支持</w:t>
      </w:r>
      <w:r>
        <w:rPr>
          <w:rFonts w:ascii="仿宋_GB2312" w:hAnsi="仿宋_GB2312" w:cs="仿宋_GB2312" w:eastAsia="仿宋_GB2312"/>
          <w:sz w:val="21"/>
          <w:b/>
        </w:rPr>
        <w:t>≥3个分析导联实时动态同步分析，并非多个导联波形同屏显示及12导联静息分析</w:t>
      </w:r>
      <w:r>
        <w:rPr>
          <w:rFonts w:ascii="仿宋_GB2312" w:hAnsi="仿宋_GB2312" w:cs="仿宋_GB2312" w:eastAsia="仿宋_GB2312"/>
          <w:sz w:val="21"/>
          <w:b/>
        </w:rPr>
        <w:t>（须提供说明书或彩页或注册证等佐证材料）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32）</w:t>
      </w:r>
      <w:r>
        <w:rPr>
          <w:rFonts w:ascii="仿宋_GB2312" w:hAnsi="仿宋_GB2312" w:cs="仿宋_GB2312" w:eastAsia="仿宋_GB2312"/>
          <w:sz w:val="21"/>
        </w:rPr>
        <w:t>32.</w:t>
      </w:r>
      <w:r>
        <w:rPr>
          <w:rFonts w:ascii="仿宋_GB2312" w:hAnsi="仿宋_GB2312" w:cs="仿宋_GB2312" w:eastAsia="仿宋_GB2312"/>
          <w:sz w:val="21"/>
        </w:rPr>
        <w:t>支持升级与红外耳温计的配对使用，使用红外耳温计测量病人耳温后，将测量结果上传至本监护仪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33）</w:t>
      </w:r>
      <w:r>
        <w:rPr>
          <w:rFonts w:ascii="仿宋_GB2312" w:hAnsi="仿宋_GB2312" w:cs="仿宋_GB2312" w:eastAsia="仿宋_GB2312"/>
          <w:sz w:val="21"/>
        </w:rPr>
        <w:t>33.</w:t>
      </w:r>
      <w:r>
        <w:rPr>
          <w:rFonts w:ascii="仿宋_GB2312" w:hAnsi="仿宋_GB2312" w:cs="仿宋_GB2312" w:eastAsia="仿宋_GB2312"/>
          <w:sz w:val="21"/>
        </w:rPr>
        <w:t>支持升级血流动力学软件工具，显示完整血流动力学参数，并以图形化界面显示病人心脏收缩力，外周血管阻力等状态，提供电子化血流动力学实验记录，重点参数蛛网图显示评估病人相关参数变化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（评审项</w:t>
      </w:r>
      <w:r>
        <w:rPr>
          <w:rFonts w:ascii="仿宋_GB2312" w:hAnsi="仿宋_GB2312" w:cs="仿宋_GB2312" w:eastAsia="仿宋_GB2312"/>
          <w:sz w:val="21"/>
          <w:b/>
        </w:rPr>
        <w:t>34）</w:t>
      </w:r>
      <w:r>
        <w:rPr>
          <w:rFonts w:ascii="仿宋_GB2312" w:hAnsi="仿宋_GB2312" w:cs="仿宋_GB2312" w:eastAsia="仿宋_GB2312"/>
          <w:sz w:val="21"/>
        </w:rPr>
        <w:t>34.</w:t>
      </w:r>
      <w:r>
        <w:rPr>
          <w:rFonts w:ascii="仿宋_GB2312" w:hAnsi="仿宋_GB2312" w:cs="仿宋_GB2312" w:eastAsia="仿宋_GB2312"/>
          <w:sz w:val="21"/>
        </w:rPr>
        <w:t>支持升级输注泵用药信息回顾工具，可同时间轴显示病人生命体征参数及用药信息回顾，呈现病人生命体征变化趋势与药物输注流速变化之间的关系</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b/>
        </w:rPr>
        <w:t>1-6肌松检测仪</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35）</w:t>
      </w:r>
      <w:r>
        <w:rPr>
          <w:rFonts w:ascii="仿宋_GB2312" w:hAnsi="仿宋_GB2312" w:cs="仿宋_GB2312" w:eastAsia="仿宋_GB2312"/>
          <w:sz w:val="21"/>
        </w:rPr>
        <w:t>35.</w:t>
      </w:r>
      <w:r>
        <w:rPr>
          <w:rFonts w:ascii="仿宋_GB2312" w:hAnsi="仿宋_GB2312" w:cs="仿宋_GB2312" w:eastAsia="仿宋_GB2312"/>
          <w:sz w:val="21"/>
        </w:rPr>
        <w:t>模块化插件式床边监护仪，主机、显示屏和插件槽一体化设计，主机工作温度环境范围：</w:t>
      </w:r>
      <w:r>
        <w:rPr>
          <w:rFonts w:ascii="仿宋_GB2312" w:hAnsi="仿宋_GB2312" w:cs="仿宋_GB2312" w:eastAsia="仿宋_GB2312"/>
          <w:sz w:val="21"/>
        </w:rPr>
        <w:t>0～40°C，主机模块插槽数≥4个，≥12英寸彩色电容触摸屏，高分辨率≥1280×800像素，≥8通道显示，显示屏亮度自动调节，屏幕支持手势滑动操作，支持穿戴医用防护手套操作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（评审项</w:t>
      </w:r>
      <w:r>
        <w:rPr>
          <w:rFonts w:ascii="仿宋_GB2312" w:hAnsi="仿宋_GB2312" w:cs="仿宋_GB2312" w:eastAsia="仿宋_GB2312"/>
          <w:sz w:val="21"/>
          <w:b/>
        </w:rPr>
        <w:t>36）36.</w:t>
      </w:r>
      <w:r>
        <w:rPr>
          <w:rFonts w:ascii="仿宋_GB2312" w:hAnsi="仿宋_GB2312" w:cs="仿宋_GB2312" w:eastAsia="仿宋_GB2312"/>
          <w:sz w:val="21"/>
          <w:b/>
        </w:rPr>
        <w:t>▲支持室上性心动过速和SVCs/min等室上性心律失常分析（须提供说明书或彩页或注册证等佐证材料）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b/>
        </w:rPr>
        <w:t>（评审项</w:t>
      </w:r>
      <w:r>
        <w:rPr>
          <w:rFonts w:ascii="仿宋_GB2312" w:hAnsi="仿宋_GB2312" w:cs="仿宋_GB2312" w:eastAsia="仿宋_GB2312"/>
          <w:sz w:val="21"/>
          <w:b/>
        </w:rPr>
        <w:t>37）37.</w:t>
      </w:r>
      <w:r>
        <w:rPr>
          <w:rFonts w:ascii="仿宋_GB2312" w:hAnsi="仿宋_GB2312" w:cs="仿宋_GB2312" w:eastAsia="仿宋_GB2312"/>
          <w:sz w:val="21"/>
          <w:b/>
        </w:rPr>
        <w:t>▲心电支持≥3个分析导联实时动态同步分析，并非多个导联波形同屏显示及12导联静息分析（须提供说明书或彩页或注册证等佐证材料）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38）★38.配置清单</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麻醉机单台配置清单包含但不限于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081"/>
        <w:gridCol w:w="6038"/>
        <w:gridCol w:w="1187"/>
      </w:tblGrid>
      <w:tr>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≥15英寸主机麻醉机</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氧、空两种气源，</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蒸发器位（双器位）</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通气模式：</w:t>
            </w:r>
            <w:r>
              <w:rPr>
                <w:rFonts w:ascii="仿宋_GB2312" w:hAnsi="仿宋_GB2312" w:cs="仿宋_GB2312" w:eastAsia="仿宋_GB2312"/>
                <w:sz w:val="22"/>
              </w:rPr>
              <w:t>VCV、PCV、SIMV、PCV-VG</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七氟醚蒸发器</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高频喷射通气功能或单机</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一次性成人附件包</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废气排放系统</w:t>
            </w:r>
            <w:r>
              <w:rPr>
                <w:rFonts w:ascii="仿宋_GB2312" w:hAnsi="仿宋_GB2312" w:cs="仿宋_GB2312" w:eastAsia="仿宋_GB2312"/>
                <w:sz w:val="22"/>
              </w:rPr>
              <w:t>AGSS</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bl>
    <w:p>
      <w:pPr>
        <w:pStyle w:val="null3"/>
        <w:jc w:val="left"/>
      </w:pPr>
      <w:r>
        <w:rPr>
          <w:rFonts w:ascii="仿宋_GB2312" w:hAnsi="仿宋_GB2312" w:cs="仿宋_GB2312" w:eastAsia="仿宋_GB2312"/>
          <w:sz w:val="24"/>
        </w:rPr>
        <w:t>1-2麻醉机单台配置清单包含但不限于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081"/>
        <w:gridCol w:w="6008"/>
        <w:gridCol w:w="1217"/>
      </w:tblGrid>
      <w:tr>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≥15英寸主机麻醉机</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氧、空两种气源，</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蒸发器位（双器位）</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通气模式：</w:t>
            </w:r>
            <w:r>
              <w:rPr>
                <w:rFonts w:ascii="仿宋_GB2312" w:hAnsi="仿宋_GB2312" w:cs="仿宋_GB2312" w:eastAsia="仿宋_GB2312"/>
                <w:sz w:val="22"/>
              </w:rPr>
              <w:t>VCV、PCV、SIMV、PCV-VG</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七氟醚蒸发器</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高流量氧疗功能</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一次性成人附件包</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废气排放系统</w:t>
            </w:r>
            <w:r>
              <w:rPr>
                <w:rFonts w:ascii="仿宋_GB2312" w:hAnsi="仿宋_GB2312" w:cs="仿宋_GB2312" w:eastAsia="仿宋_GB2312"/>
                <w:sz w:val="22"/>
              </w:rPr>
              <w:t>AGSS</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bl>
    <w:p>
      <w:pPr>
        <w:pStyle w:val="null3"/>
        <w:jc w:val="left"/>
      </w:pPr>
      <w:r>
        <w:rPr>
          <w:rFonts w:ascii="仿宋_GB2312" w:hAnsi="仿宋_GB2312" w:cs="仿宋_GB2312" w:eastAsia="仿宋_GB2312"/>
          <w:sz w:val="24"/>
        </w:rPr>
        <w:t>1-3加温毯单台配置清单包含但不限于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129"/>
        <w:gridCol w:w="5823"/>
        <w:gridCol w:w="1354"/>
      </w:tblGrid>
      <w:tr>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医用升温毯主机</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电源线</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1根</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使用说明书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产品合格证</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bl>
    <w:p>
      <w:pPr>
        <w:pStyle w:val="null3"/>
        <w:jc w:val="left"/>
      </w:pPr>
      <w:r>
        <w:rPr>
          <w:rFonts w:ascii="仿宋_GB2312" w:hAnsi="仿宋_GB2312" w:cs="仿宋_GB2312" w:eastAsia="仿宋_GB2312"/>
          <w:sz w:val="24"/>
        </w:rPr>
        <w:t>1-4输血加温仪单台配置清单包含但不限于:</w:t>
      </w:r>
    </w:p>
    <w:tbl>
      <w:tblPr>
        <w:tblW w:w="0" w:type="auto"/>
        <w:tblBorders>
          <w:top w:val="none" w:color="000000" w:sz="4"/>
          <w:left w:val="none" w:color="000000" w:sz="4"/>
          <w:bottom w:val="none" w:color="000000" w:sz="4"/>
          <w:right w:val="none" w:color="000000" w:sz="4"/>
          <w:insideH w:val="none"/>
          <w:insideV w:val="none"/>
        </w:tblBorders>
      </w:tblPr>
      <w:tblGrid>
        <w:gridCol w:w="1129"/>
        <w:gridCol w:w="5823"/>
        <w:gridCol w:w="1354"/>
      </w:tblGrid>
      <w:tr>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输液加温仪主机</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加热条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1条</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维修卡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使用说明书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产品合格证</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bl>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麻醉深度监护仪（</w:t>
      </w:r>
      <w:r>
        <w:rPr>
          <w:rFonts w:ascii="仿宋_GB2312" w:hAnsi="仿宋_GB2312" w:cs="仿宋_GB2312" w:eastAsia="仿宋_GB2312"/>
          <w:sz w:val="24"/>
        </w:rPr>
        <w:t>BIS监测仪）单台配置清单包含但不限于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126"/>
        <w:gridCol w:w="5693"/>
        <w:gridCol w:w="1487"/>
      </w:tblGrid>
      <w:tr>
        <w:tc>
          <w:tcPr>
            <w:tcW w:type="dxa" w:w="1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监护仪主机（</w:t>
            </w:r>
            <w:r>
              <w:rPr>
                <w:rFonts w:ascii="仿宋_GB2312" w:hAnsi="仿宋_GB2312" w:cs="仿宋_GB2312" w:eastAsia="仿宋_GB2312"/>
                <w:sz w:val="22"/>
              </w:rPr>
              <w:t>6槽位）</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≥15英寸触摸屏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成人心电导联线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成人血压袖带</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成人指套式血氧探头</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标准电源线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1根</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使用说明书</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插件式脑电意识状态监测模块（</w:t>
            </w:r>
            <w:r>
              <w:rPr>
                <w:rFonts w:ascii="仿宋_GB2312" w:hAnsi="仿宋_GB2312" w:cs="仿宋_GB2312" w:eastAsia="仿宋_GB2312"/>
                <w:sz w:val="22"/>
              </w:rPr>
              <w:t>BIS）</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bl>
    <w:p>
      <w:pPr>
        <w:pStyle w:val="null3"/>
        <w:jc w:val="center"/>
      </w:pPr>
      <w:r>
        <w:rPr>
          <w:rFonts w:ascii="仿宋_GB2312" w:hAnsi="仿宋_GB2312" w:cs="仿宋_GB2312" w:eastAsia="仿宋_GB2312"/>
          <w:sz w:val="24"/>
        </w:rPr>
        <w:t>1-6肌松检测仪单台配置清单包含但不限于:</w:t>
      </w:r>
    </w:p>
    <w:tbl>
      <w:tblPr>
        <w:tblW w:w="0" w:type="auto"/>
        <w:tblBorders>
          <w:top w:val="none" w:color="000000" w:sz="4"/>
          <w:left w:val="none" w:color="000000" w:sz="4"/>
          <w:bottom w:val="none" w:color="000000" w:sz="4"/>
          <w:right w:val="none" w:color="000000" w:sz="4"/>
          <w:insideH w:val="none"/>
          <w:insideV w:val="none"/>
        </w:tblBorders>
      </w:tblPr>
      <w:tblGrid>
        <w:gridCol w:w="1126"/>
        <w:gridCol w:w="5693"/>
        <w:gridCol w:w="1487"/>
      </w:tblGrid>
      <w:tr>
        <w:tc>
          <w:tcPr>
            <w:tcW w:type="dxa" w:w="1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监护仪主机（</w:t>
            </w:r>
            <w:r>
              <w:rPr>
                <w:rFonts w:ascii="仿宋_GB2312" w:hAnsi="仿宋_GB2312" w:cs="仿宋_GB2312" w:eastAsia="仿宋_GB2312"/>
                <w:sz w:val="22"/>
              </w:rPr>
              <w:t>4槽位）</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≥12英寸触摸屏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成人心电导联线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成人血压袖带</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成人指套式血氧探头</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标准电源线</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1根</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使用说明书</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1本</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插件式肌松监测模块（</w:t>
            </w:r>
            <w:r>
              <w:rPr>
                <w:rFonts w:ascii="仿宋_GB2312" w:hAnsi="仿宋_GB2312" w:cs="仿宋_GB2312" w:eastAsia="仿宋_GB2312"/>
                <w:sz w:val="22"/>
              </w:rPr>
              <w:t>NMT）</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自合同签订之日30日内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1、全部货物交货安装调试完毕并验收合格后，采购人凭收讫货物的验收材料、履约保证金缴纳凭证、全额有效税务发票等材料，达到付款条件起30日内，支付合同总金额的100.00%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说明：中标人在合同签订时须向采购人支付合同总金额的10%作为履约保证金。在中标人无违约的情形下，采购人于验收合格后12个月根据中标人提交的付款申请材料无息退回履约保证金给中标人。</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8、安装与验收</w:t>
      </w:r>
    </w:p>
    <w:p>
      <w:pPr>
        <w:pStyle w:val="null3"/>
        <w:ind w:firstLine="480"/>
        <w:jc w:val="both"/>
      </w:pPr>
      <w:r>
        <w:rPr>
          <w:rFonts w:ascii="仿宋_GB2312" w:hAnsi="仿宋_GB2312" w:cs="仿宋_GB2312" w:eastAsia="仿宋_GB2312"/>
          <w:sz w:val="24"/>
          <w:color w:val="000000"/>
        </w:rPr>
        <w:t>8.1安装</w:t>
      </w:r>
    </w:p>
    <w:p>
      <w:pPr>
        <w:pStyle w:val="null3"/>
        <w:ind w:firstLine="480"/>
        <w:jc w:val="both"/>
      </w:pPr>
      <w:r>
        <w:rPr>
          <w:rFonts w:ascii="仿宋_GB2312" w:hAnsi="仿宋_GB2312" w:cs="仿宋_GB2312" w:eastAsia="仿宋_GB2312"/>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both"/>
      </w:pPr>
      <w:r>
        <w:rPr>
          <w:rFonts w:ascii="仿宋_GB2312" w:hAnsi="仿宋_GB2312" w:cs="仿宋_GB2312" w:eastAsia="仿宋_GB2312"/>
          <w:sz w:val="24"/>
          <w:color w:val="000000"/>
        </w:rPr>
        <w:t>8.1.2货物的装卸、运输和堆放均应做到安全、规范，如有破损应及时修复或调换。</w:t>
      </w:r>
    </w:p>
    <w:p>
      <w:pPr>
        <w:pStyle w:val="null3"/>
        <w:ind w:firstLine="480"/>
        <w:jc w:val="both"/>
      </w:pPr>
      <w:r>
        <w:rPr>
          <w:rFonts w:ascii="仿宋_GB2312" w:hAnsi="仿宋_GB2312" w:cs="仿宋_GB2312" w:eastAsia="仿宋_GB2312"/>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both"/>
      </w:pPr>
      <w:r>
        <w:rPr>
          <w:rFonts w:ascii="仿宋_GB2312" w:hAnsi="仿宋_GB2312" w:cs="仿宋_GB2312" w:eastAsia="仿宋_GB2312"/>
          <w:sz w:val="24"/>
          <w:color w:val="000000"/>
        </w:rPr>
        <w:t>8.1.4在安装过程中，安装人员应严格按照国家有关的操作规程和规范，确保安装牢固，安全可靠。</w:t>
      </w:r>
    </w:p>
    <w:p>
      <w:pPr>
        <w:pStyle w:val="null3"/>
        <w:ind w:firstLine="480"/>
        <w:jc w:val="both"/>
      </w:pPr>
      <w:r>
        <w:rPr>
          <w:rFonts w:ascii="仿宋_GB2312" w:hAnsi="仿宋_GB2312" w:cs="仿宋_GB2312" w:eastAsia="仿宋_GB2312"/>
          <w:sz w:val="24"/>
          <w:color w:val="000000"/>
        </w:rPr>
        <w:t>8.1.5在安装过程中，安装人员应加强现场管理，保持整洁有序，不得妨碍干扰采购人正常工作秩序，不得破坏环境，否则由中标人承担全部责任。</w:t>
      </w:r>
    </w:p>
    <w:p>
      <w:pPr>
        <w:pStyle w:val="null3"/>
        <w:ind w:firstLine="480"/>
        <w:jc w:val="both"/>
      </w:pPr>
      <w:r>
        <w:rPr>
          <w:rFonts w:ascii="仿宋_GB2312" w:hAnsi="仿宋_GB2312" w:cs="仿宋_GB2312" w:eastAsia="仿宋_GB2312"/>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both"/>
      </w:pPr>
      <w:r>
        <w:rPr>
          <w:rFonts w:ascii="仿宋_GB2312" w:hAnsi="仿宋_GB2312" w:cs="仿宋_GB2312" w:eastAsia="仿宋_GB2312"/>
          <w:sz w:val="24"/>
          <w:color w:val="000000"/>
        </w:rPr>
        <w:t>8.1.7安装过程中，严格按照服务内容完成实施，要求保证医院各项业务系统的持续运行，医院业务数据不丢失，否则由中标人承担全部责任；</w:t>
      </w:r>
    </w:p>
    <w:p>
      <w:pPr>
        <w:pStyle w:val="null3"/>
        <w:ind w:firstLine="480"/>
        <w:jc w:val="both"/>
      </w:pPr>
      <w:r>
        <w:rPr>
          <w:rFonts w:ascii="仿宋_GB2312" w:hAnsi="仿宋_GB2312" w:cs="仿宋_GB2312" w:eastAsia="仿宋_GB2312"/>
          <w:sz w:val="24"/>
          <w:color w:val="000000"/>
        </w:rPr>
        <w:t>8.1.8合同签订后，中标人须将安装所需的水、电、气及其他要求书面通知采购人。</w:t>
      </w:r>
    </w:p>
    <w:p>
      <w:pPr>
        <w:pStyle w:val="null3"/>
        <w:ind w:firstLine="480"/>
        <w:jc w:val="both"/>
      </w:pPr>
      <w:r>
        <w:rPr>
          <w:rFonts w:ascii="仿宋_GB2312" w:hAnsi="仿宋_GB2312" w:cs="仿宋_GB2312" w:eastAsia="仿宋_GB2312"/>
          <w:sz w:val="24"/>
          <w:color w:val="000000"/>
        </w:rPr>
        <w:t>8.1.9中标人应组织专业技术人员进行货物安装调试，采购人提供安装所必须的基本条件，保证各项安装工作顺利进行。</w:t>
      </w:r>
    </w:p>
    <w:p>
      <w:pPr>
        <w:pStyle w:val="null3"/>
        <w:ind w:firstLine="480"/>
        <w:jc w:val="both"/>
      </w:pPr>
      <w:r>
        <w:rPr>
          <w:rFonts w:ascii="仿宋_GB2312" w:hAnsi="仿宋_GB2312" w:cs="仿宋_GB2312" w:eastAsia="仿宋_GB2312"/>
          <w:sz w:val="24"/>
          <w:color w:val="000000"/>
        </w:rPr>
        <w:t>8.1.10中标人应在合同签订时向采购人提供安装、调试及试运行的进度计划表。</w:t>
      </w:r>
    </w:p>
    <w:p>
      <w:pPr>
        <w:pStyle w:val="null3"/>
        <w:ind w:firstLine="480"/>
        <w:jc w:val="both"/>
      </w:pPr>
      <w:r>
        <w:rPr>
          <w:rFonts w:ascii="仿宋_GB2312" w:hAnsi="仿宋_GB2312" w:cs="仿宋_GB2312" w:eastAsia="仿宋_GB2312"/>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both"/>
      </w:pPr>
      <w:r>
        <w:rPr>
          <w:rFonts w:ascii="仿宋_GB2312" w:hAnsi="仿宋_GB2312" w:cs="仿宋_GB2312" w:eastAsia="仿宋_GB2312"/>
          <w:sz w:val="24"/>
          <w:color w:val="000000"/>
        </w:rPr>
        <w:t>8.1.12中标人承担安装时必要的管路连接或实验室改造施工，产生的费用包含在合同总价中。</w:t>
      </w:r>
    </w:p>
    <w:p>
      <w:pPr>
        <w:pStyle w:val="null3"/>
        <w:ind w:firstLine="480"/>
        <w:jc w:val="both"/>
      </w:pPr>
      <w:r>
        <w:rPr>
          <w:rFonts w:ascii="仿宋_GB2312" w:hAnsi="仿宋_GB2312" w:cs="仿宋_GB2312" w:eastAsia="仿宋_GB2312"/>
          <w:sz w:val="24"/>
          <w:color w:val="000000"/>
        </w:rPr>
        <w:t>8.1.13中标人在安装调试过程中对场地的破坏应予以修复，修复费用包含在合同总价中。</w:t>
      </w:r>
    </w:p>
    <w:p>
      <w:pPr>
        <w:pStyle w:val="null3"/>
        <w:ind w:firstLine="480"/>
        <w:jc w:val="both"/>
      </w:pPr>
      <w:r>
        <w:rPr>
          <w:rFonts w:ascii="仿宋_GB2312" w:hAnsi="仿宋_GB2312" w:cs="仿宋_GB2312" w:eastAsia="仿宋_GB2312"/>
          <w:sz w:val="24"/>
          <w:color w:val="000000"/>
        </w:rPr>
        <w:t>8.2验收</w:t>
      </w:r>
    </w:p>
    <w:p>
      <w:pPr>
        <w:pStyle w:val="null3"/>
        <w:ind w:firstLine="480"/>
        <w:jc w:val="both"/>
      </w:pPr>
      <w:r>
        <w:rPr>
          <w:rFonts w:ascii="仿宋_GB2312" w:hAnsi="仿宋_GB2312" w:cs="仿宋_GB2312" w:eastAsia="仿宋_GB2312"/>
          <w:sz w:val="24"/>
          <w:color w:val="000000"/>
        </w:rPr>
        <w:t>8.2.1验收应按照本合同附件的所有文件的规定或约定进行，具体如下：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3）进口商检：若进口货物中标人应提供进口的有关证明，包括货物的产地、品 牌及装运港等证明材料；</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到货验收：货物送至采购人安装现场后，中标人和采购人一同拆箱，对其全部货物、零件、配件的型号、规格、数量、外型、外观、包装并依据货物装箱单、出厂检验报告、合格证等进行清点检查，对用户许可 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验收：设备安装、调试结束后中标人负责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 更换，并无条件重新检测并调试直至验收合格交付使用。</w:t>
      </w:r>
    </w:p>
    <w:p>
      <w:pPr>
        <w:pStyle w:val="null3"/>
        <w:ind w:firstLine="480"/>
        <w:jc w:val="both"/>
      </w:pPr>
      <w:r>
        <w:rPr>
          <w:rFonts w:ascii="仿宋_GB2312" w:hAnsi="仿宋_GB2312" w:cs="仿宋_GB2312" w:eastAsia="仿宋_GB2312"/>
          <w:sz w:val="24"/>
          <w:color w:val="000000"/>
        </w:rPr>
        <w:t>8.2.2本项目是否邀请其他投标人参与验收：不邀请。</w:t>
      </w:r>
    </w:p>
    <w:p>
      <w:pPr>
        <w:pStyle w:val="null3"/>
        <w:ind w:firstLine="240"/>
        <w:jc w:val="both"/>
      </w:pPr>
      <w:r>
        <w:rPr>
          <w:rFonts w:ascii="仿宋_GB2312" w:hAnsi="仿宋_GB2312" w:cs="仿宋_GB2312" w:eastAsia="仿宋_GB2312"/>
          <w:sz w:val="24"/>
          <w:color w:val="000000"/>
        </w:rPr>
        <w:t>8.2.3各投标人可视自身能力在投标文件中提供更优、更合理的维修服务承诺。</w:t>
      </w:r>
    </w:p>
    <w:p>
      <w:pPr>
        <w:pStyle w:val="null3"/>
        <w:ind w:firstLine="480"/>
        <w:jc w:val="both"/>
      </w:pPr>
      <w:r>
        <w:rPr>
          <w:rFonts w:ascii="仿宋_GB2312" w:hAnsi="仿宋_GB2312" w:cs="仿宋_GB2312" w:eastAsia="仿宋_GB2312"/>
          <w:sz w:val="24"/>
          <w:color w:val="000000"/>
        </w:rPr>
        <w:t>9、售后服务</w:t>
      </w:r>
    </w:p>
    <w:p>
      <w:pPr>
        <w:pStyle w:val="null3"/>
        <w:ind w:firstLine="480"/>
        <w:jc w:val="both"/>
      </w:pPr>
      <w:r>
        <w:rPr>
          <w:rFonts w:ascii="仿宋_GB2312" w:hAnsi="仿宋_GB2312" w:cs="仿宋_GB2312" w:eastAsia="仿宋_GB2312"/>
          <w:sz w:val="24"/>
          <w:color w:val="000000"/>
        </w:rPr>
        <w:t>9.1本产品质保期不少于五年。质保期内不收取任何费用；质保期外不收取任何维修费用、差旅费，仅收取配件费。</w:t>
      </w:r>
    </w:p>
    <w:p>
      <w:pPr>
        <w:pStyle w:val="null3"/>
        <w:ind w:firstLine="240"/>
        <w:jc w:val="both"/>
      </w:pPr>
      <w:r>
        <w:rPr>
          <w:rFonts w:ascii="仿宋_GB2312" w:hAnsi="仿宋_GB2312" w:cs="仿宋_GB2312" w:eastAsia="仿宋_GB2312"/>
          <w:sz w:val="24"/>
          <w:color w:val="000000"/>
        </w:rPr>
        <w:t>9.2中标人提供质保期内成套设备免费保修服务，并为产品提供终生维修服务。</w:t>
      </w:r>
    </w:p>
    <w:p>
      <w:pPr>
        <w:pStyle w:val="null3"/>
        <w:ind w:firstLine="480"/>
        <w:jc w:val="both"/>
      </w:pPr>
      <w:r>
        <w:rPr>
          <w:rFonts w:ascii="仿宋_GB2312" w:hAnsi="仿宋_GB2312" w:cs="仿宋_GB2312" w:eastAsia="仿宋_GB2312"/>
          <w:sz w:val="24"/>
          <w:color w:val="000000"/>
        </w:rPr>
        <w:t>9.2.1中标人保证产品在国内有售后服务维修站，设有备品配件（包括线路板、日常使用耗材等）库，有固定的设备维修工程师。中标人应快捷地提供全程的售前、售后、服务工作。</w:t>
      </w:r>
    </w:p>
    <w:p>
      <w:pPr>
        <w:pStyle w:val="null3"/>
        <w:ind w:firstLine="480"/>
        <w:jc w:val="both"/>
      </w:pPr>
      <w:r>
        <w:rPr>
          <w:rFonts w:ascii="仿宋_GB2312" w:hAnsi="仿宋_GB2312" w:cs="仿宋_GB2312" w:eastAsia="仿宋_GB2312"/>
          <w:sz w:val="24"/>
          <w:color w:val="000000"/>
        </w:rPr>
        <w:t>9.2.2保修期的期限应以采购人、中标人双方的安装、调试、培训并验收合格之日起计算，保修期内有关该设备的安装、调试、保养、维修、升级等活动所产生的一切费用由中标人承担(不论故障原因)。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both"/>
      </w:pPr>
      <w:r>
        <w:rPr>
          <w:rFonts w:ascii="仿宋_GB2312" w:hAnsi="仿宋_GB2312" w:cs="仿宋_GB2312" w:eastAsia="仿宋_GB2312"/>
          <w:sz w:val="24"/>
          <w:color w:val="000000"/>
        </w:rPr>
        <w:t>9.2.3保修期内出现产品质量问题中标人应无条件保修。保修期内中标人可采取远程诊断，指导采购人现场工作人员进行免责简单维修。</w:t>
      </w:r>
    </w:p>
    <w:p>
      <w:pPr>
        <w:pStyle w:val="null3"/>
        <w:ind w:firstLine="480"/>
        <w:jc w:val="both"/>
      </w:pPr>
      <w:r>
        <w:rPr>
          <w:rFonts w:ascii="仿宋_GB2312" w:hAnsi="仿宋_GB2312" w:cs="仿宋_GB2312" w:eastAsia="仿宋_GB2312"/>
          <w:sz w:val="24"/>
          <w:color w:val="000000"/>
        </w:rPr>
        <w:t>9.2.4保修期内采购人报修的，中标人响应时间2小时内，到场时间6小时倍（如遇不可抗拒力量顺延），如有需要零配件或耗材则所需物品到场时间为24内小时，否则采购人可以按延误时间双倍延长保修期。中标人维修完成后应及时填写维修报告（包括故障原因、处理情况及采购人意见等）报采购人备案。</w:t>
      </w:r>
    </w:p>
    <w:p>
      <w:pPr>
        <w:pStyle w:val="null3"/>
        <w:ind w:firstLine="480"/>
        <w:jc w:val="both"/>
      </w:pPr>
      <w:r>
        <w:rPr>
          <w:rFonts w:ascii="仿宋_GB2312" w:hAnsi="仿宋_GB2312" w:cs="仿宋_GB2312" w:eastAsia="仿宋_GB2312"/>
          <w:sz w:val="24"/>
          <w:color w:val="000000"/>
        </w:rPr>
        <w:t>9.2.5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both"/>
      </w:pPr>
      <w:r>
        <w:rPr>
          <w:rFonts w:ascii="仿宋_GB2312" w:hAnsi="仿宋_GB2312" w:cs="仿宋_GB2312" w:eastAsia="仿宋_GB2312"/>
          <w:sz w:val="24"/>
          <w:color w:val="000000"/>
        </w:rPr>
        <w:t>9.2.6保修期内中标人应提供详细的年度定期预防性维护保养计划。</w:t>
      </w:r>
    </w:p>
    <w:p>
      <w:pPr>
        <w:pStyle w:val="null3"/>
        <w:ind w:firstLine="480"/>
        <w:jc w:val="both"/>
      </w:pPr>
      <w:r>
        <w:rPr>
          <w:rFonts w:ascii="仿宋_GB2312" w:hAnsi="仿宋_GB2312" w:cs="仿宋_GB2312" w:eastAsia="仿宋_GB2312"/>
          <w:sz w:val="24"/>
          <w:color w:val="000000"/>
        </w:rPr>
        <w:t>9.2.7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both"/>
      </w:pPr>
      <w:r>
        <w:rPr>
          <w:rFonts w:ascii="仿宋_GB2312" w:hAnsi="仿宋_GB2312" w:cs="仿宋_GB2312" w:eastAsia="仿宋_GB2312"/>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both"/>
      </w:pPr>
      <w:r>
        <w:rPr>
          <w:rFonts w:ascii="仿宋_GB2312" w:hAnsi="仿宋_GB2312" w:cs="仿宋_GB2312" w:eastAsia="仿宋_GB2312"/>
          <w:sz w:val="24"/>
          <w:color w:val="000000"/>
        </w:rPr>
        <w:t>9.4免费保修即将到期前，中标人需对设备做全面巡检保养，保证设备的正常工作状态，并完成巡检报告交院方存档。</w:t>
      </w:r>
    </w:p>
    <w:p>
      <w:pPr>
        <w:pStyle w:val="null3"/>
        <w:ind w:firstLine="480"/>
        <w:jc w:val="both"/>
      </w:pPr>
      <w:r>
        <w:rPr>
          <w:rFonts w:ascii="仿宋_GB2312" w:hAnsi="仿宋_GB2312" w:cs="仿宋_GB2312" w:eastAsia="仿宋_GB2312"/>
          <w:sz w:val="24"/>
          <w:color w:val="000000"/>
        </w:rPr>
        <w:t>9.5保修期满后，中标人负责仪器的终身维修并应继续提供优惠、优质的服务，报修响应时间2小时内，到场时间8小时内。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both"/>
      </w:pPr>
      <w:r>
        <w:rPr>
          <w:rFonts w:ascii="仿宋_GB2312" w:hAnsi="仿宋_GB2312" w:cs="仿宋_GB2312" w:eastAsia="仿宋_GB2312"/>
          <w:sz w:val="24"/>
          <w:color w:val="000000"/>
        </w:rPr>
        <w:t>9.6中标人及时免费提供设备的软件升级版本。中标人及时免费提供设备使用和维护技术方面的信息。中标人向采购人提供以下有关设备的软、硬件技术资料（若有）：(1)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both"/>
      </w:pPr>
      <w:r>
        <w:rPr>
          <w:rFonts w:ascii="仿宋_GB2312" w:hAnsi="仿宋_GB2312" w:cs="仿宋_GB2312" w:eastAsia="仿宋_GB2312"/>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both"/>
      </w:pPr>
      <w:r>
        <w:rPr>
          <w:rFonts w:ascii="仿宋_GB2312" w:hAnsi="仿宋_GB2312" w:cs="仿宋_GB2312" w:eastAsia="仿宋_GB2312"/>
          <w:sz w:val="24"/>
          <w:color w:val="000000"/>
        </w:rPr>
        <w:t>9.8中标人的所有售后服务行为都不得将设备上的采购人客户信息资料泄漏，否则一切法律和经济后果由中标人承担。</w:t>
      </w:r>
    </w:p>
    <w:p>
      <w:pPr>
        <w:pStyle w:val="null3"/>
        <w:ind w:firstLine="480"/>
        <w:jc w:val="both"/>
      </w:pPr>
      <w:r>
        <w:rPr>
          <w:rFonts w:ascii="仿宋_GB2312" w:hAnsi="仿宋_GB2312" w:cs="仿宋_GB2312" w:eastAsia="仿宋_GB2312"/>
          <w:sz w:val="24"/>
          <w:color w:val="000000"/>
        </w:rPr>
        <w:t>10、违约责任</w:t>
      </w:r>
    </w:p>
    <w:p>
      <w:pPr>
        <w:pStyle w:val="null3"/>
        <w:ind w:firstLine="480"/>
        <w:jc w:val="both"/>
      </w:pPr>
      <w:r>
        <w:rPr>
          <w:rFonts w:ascii="仿宋_GB2312" w:hAnsi="仿宋_GB2312" w:cs="仿宋_GB2312" w:eastAsia="仿宋_GB2312"/>
          <w:sz w:val="24"/>
          <w:color w:val="000000"/>
        </w:rPr>
        <w:t>甲方：采购人；乙方：中标人</w:t>
      </w:r>
    </w:p>
    <w:p>
      <w:pPr>
        <w:pStyle w:val="null3"/>
        <w:ind w:firstLine="480"/>
        <w:jc w:val="both"/>
      </w:pPr>
      <w:r>
        <w:rPr>
          <w:rFonts w:ascii="仿宋_GB2312" w:hAnsi="仿宋_GB2312" w:cs="仿宋_GB2312" w:eastAsia="仿宋_GB2312"/>
          <w:sz w:val="24"/>
          <w:color w:val="000000"/>
        </w:rPr>
        <w:t>10.1本项目不允许乙方以任何名义和理由在中标后将中标项目的主体、非主体、关键性工作、非关键性工作进行转包、分包，在履行合同过程中如有发现，甲方有权单方终止合同，视为乙方违约，乙方违约对甲方造成的损失的，需另行按照本合同总价30%的比例向甲方支付赔偿金，并追究相关法律责任。</w:t>
      </w:r>
    </w:p>
    <w:p>
      <w:pPr>
        <w:pStyle w:val="null3"/>
        <w:ind w:firstLine="480"/>
        <w:jc w:val="both"/>
      </w:pPr>
      <w:r>
        <w:rPr>
          <w:rFonts w:ascii="仿宋_GB2312" w:hAnsi="仿宋_GB2312" w:cs="仿宋_GB2312" w:eastAsia="仿宋_GB2312"/>
          <w:sz w:val="24"/>
          <w:color w:val="000000"/>
        </w:rPr>
        <w:t>10.2因乙方原因造成采购合同无法按时签订，视为乙方违约，乙方违约对甲方造成的损失的，乙方需另行按照本合同总价30%的比例向甲方支付赔偿金。</w:t>
      </w:r>
    </w:p>
    <w:p>
      <w:pPr>
        <w:pStyle w:val="null3"/>
        <w:ind w:firstLine="480"/>
        <w:jc w:val="both"/>
      </w:pPr>
      <w:r>
        <w:rPr>
          <w:rFonts w:ascii="仿宋_GB2312" w:hAnsi="仿宋_GB2312" w:cs="仿宋_GB2312" w:eastAsia="仿宋_GB2312"/>
          <w:sz w:val="24"/>
          <w:color w:val="000000"/>
        </w:rPr>
        <w:t>10.3在签定采购合同之后，乙方要求解除合同的，视为乙方违约，对甲方造成的损失的，乙方需另行按照本合同总价30%的比例向甲方支付赔偿金。</w:t>
      </w:r>
    </w:p>
    <w:p>
      <w:pPr>
        <w:pStyle w:val="null3"/>
        <w:ind w:firstLine="480"/>
        <w:jc w:val="both"/>
      </w:pPr>
      <w:r>
        <w:rPr>
          <w:rFonts w:ascii="仿宋_GB2312" w:hAnsi="仿宋_GB2312" w:cs="仿宋_GB2312" w:eastAsia="仿宋_GB2312"/>
          <w:sz w:val="24"/>
          <w:color w:val="000000"/>
        </w:rPr>
        <w:t>10.4乙方逾期提供服务的(不可抗力除外)，每逾期一天，偿付500元违约金;若乙方逾期达30天(含)以上的，甲方有权单方面解除合同并要求乙方支付中标总金额30%的违约金。乙方仍应按上述约定支付延期交货违约金。若因此给甲方造成损失的，还应赔偿甲方所受的损失。</w:t>
      </w:r>
    </w:p>
    <w:p>
      <w:pPr>
        <w:pStyle w:val="null3"/>
        <w:ind w:firstLine="480"/>
        <w:jc w:val="both"/>
      </w:pPr>
      <w:r>
        <w:rPr>
          <w:rFonts w:ascii="仿宋_GB2312" w:hAnsi="仿宋_GB2312" w:cs="仿宋_GB2312" w:eastAsia="仿宋_GB2312"/>
          <w:sz w:val="24"/>
          <w:color w:val="000000"/>
        </w:rPr>
        <w:t>10.5乙方提供的服务未达到合同约定的标准，应在甲方规定的时间内予以整改，每逾期一天，乙方应向甲方支付500元违约金，若因此给甲方造成损失的，乙方还应赔偿甲方所受的损失。未在规定时间内整改完成的，甲方有权单方面解除合同并要求乙方支付中标总金额30%的违约金，乙方仍应按上述约定支付逾期违约金。</w:t>
      </w:r>
    </w:p>
    <w:p>
      <w:pPr>
        <w:pStyle w:val="null3"/>
        <w:ind w:firstLine="480"/>
        <w:jc w:val="both"/>
      </w:pPr>
      <w:r>
        <w:rPr>
          <w:rFonts w:ascii="仿宋_GB2312" w:hAnsi="仿宋_GB2312" w:cs="仿宋_GB2312" w:eastAsia="仿宋_GB2312"/>
          <w:sz w:val="24"/>
          <w:color w:val="000000"/>
        </w:rPr>
        <w:t>10.6甲方有权从履约保证金或未付款项中扣除乙方应支付的违约金及损失，不足部分应由乙方另行支付；如履约保证金或未付款项在扣除乙方应支付的违约金及损失后仍有剩余的，甲方根据合同约定向乙方支付或退回剩余款项。</w:t>
      </w:r>
    </w:p>
    <w:p>
      <w:pPr>
        <w:pStyle w:val="null3"/>
        <w:ind w:firstLine="240"/>
        <w:jc w:val="both"/>
      </w:pPr>
      <w:r>
        <w:rPr>
          <w:rFonts w:ascii="仿宋_GB2312" w:hAnsi="仿宋_GB2312" w:cs="仿宋_GB2312" w:eastAsia="仿宋_GB2312"/>
          <w:sz w:val="24"/>
          <w:color w:val="000000"/>
        </w:rPr>
        <w:t>10.7因乙方原因发生任何事故，所造成的所有人员伤亡、财产损失和责任均由乙方承担，与甲方无关。乙方除依约承担赔偿责任外，还将按有关质量管理办法规定执行。同时，甲方有权保留更换乙方的权利，并报相关行政主管部门处罚。</w:t>
      </w:r>
    </w:p>
    <w:p>
      <w:pPr>
        <w:pStyle w:val="null3"/>
        <w:ind w:firstLine="480"/>
        <w:jc w:val="both"/>
      </w:pPr>
      <w:r>
        <w:rPr>
          <w:rFonts w:ascii="仿宋_GB2312" w:hAnsi="仿宋_GB2312" w:cs="仿宋_GB2312" w:eastAsia="仿宋_GB2312"/>
          <w:sz w:val="24"/>
          <w:color w:val="000000"/>
        </w:rPr>
        <w:t>10.8因乙方原因发生重大质量事故，除依约承担赔偿责任外，还将按有关质量管理办法规定执行。同时，甲方有权保留更换乙方的权利，并报相关行政主管部门处罚。</w:t>
      </w:r>
    </w:p>
    <w:p>
      <w:pPr>
        <w:pStyle w:val="null3"/>
        <w:ind w:firstLine="480"/>
        <w:jc w:val="both"/>
      </w:pPr>
      <w:r>
        <w:rPr>
          <w:rFonts w:ascii="仿宋_GB2312" w:hAnsi="仿宋_GB2312" w:cs="仿宋_GB2312" w:eastAsia="仿宋_GB2312"/>
          <w:sz w:val="24"/>
          <w:color w:val="000000"/>
        </w:rPr>
        <w:t>10.9若发生死亡安全事故，除按国家有关安全管理规定及甲方有关安全管理办法执行外，并报相关行政主管部门处罚；发生重大安全事故或特大安全事故，除按国家有关安全管理规定及甲方有关安全管理办法执行外，甲方有权终止合同，给甲方造成的损失，还应承担赔偿责任。</w:t>
      </w:r>
    </w:p>
    <w:p>
      <w:pPr>
        <w:pStyle w:val="null3"/>
        <w:ind w:firstLine="480"/>
        <w:jc w:val="both"/>
      </w:pPr>
      <w:r>
        <w:rPr>
          <w:rFonts w:ascii="仿宋_GB2312" w:hAnsi="仿宋_GB2312" w:cs="仿宋_GB2312" w:eastAsia="仿宋_GB2312"/>
          <w:sz w:val="24"/>
          <w:color w:val="000000"/>
        </w:rPr>
        <w:t>10.10任何一方因对方违约，向违约方主张权利所支出的律师费、诉讼费/仲裁费、保全费、差旅费等费用均有权要求违约方承担。</w:t>
      </w:r>
    </w:p>
    <w:p>
      <w:pPr>
        <w:pStyle w:val="null3"/>
        <w:ind w:firstLine="480"/>
        <w:jc w:val="both"/>
      </w:pPr>
      <w:r>
        <w:rPr>
          <w:rFonts w:ascii="仿宋_GB2312" w:hAnsi="仿宋_GB2312" w:cs="仿宋_GB2312" w:eastAsia="仿宋_GB2312"/>
          <w:sz w:val="24"/>
          <w:color w:val="000000"/>
        </w:rPr>
        <w:t>11、知识产权</w:t>
      </w:r>
    </w:p>
    <w:p>
      <w:pPr>
        <w:pStyle w:val="null3"/>
        <w:ind w:firstLine="480"/>
        <w:jc w:val="both"/>
      </w:pPr>
      <w:r>
        <w:rPr>
          <w:rFonts w:ascii="仿宋_GB2312" w:hAnsi="仿宋_GB2312" w:cs="仿宋_GB2312" w:eastAsia="仿宋_GB2312"/>
          <w:sz w:val="24"/>
          <w:color w:val="000000"/>
        </w:rPr>
        <w:t>11.1</w:t>
      </w:r>
      <w:r>
        <w:rPr>
          <w:rFonts w:ascii="仿宋_GB2312" w:hAnsi="仿宋_GB2312" w:cs="仿宋_GB2312" w:eastAsia="仿宋_GB2312"/>
          <w:sz w:val="24"/>
          <w:color w:val="000000"/>
        </w:rPr>
        <w:t>乙方提供的采购标的应符合国家知识产权法律、法规的规定且非假冒伪劣品；乙方还应保证甲方不受到第三方关于侵犯知识产权及专利权、商标权或工业设计权等知识产权方面的指控</w:t>
      </w:r>
      <w:r>
        <w:rPr>
          <w:rFonts w:ascii="仿宋_GB2312" w:hAnsi="仿宋_GB2312" w:cs="仿宋_GB2312" w:eastAsia="仿宋_GB2312"/>
          <w:sz w:val="24"/>
          <w:color w:val="000000"/>
        </w:rPr>
        <w:t>。若</w:t>
      </w:r>
      <w:r>
        <w:rPr>
          <w:rFonts w:ascii="仿宋_GB2312" w:hAnsi="仿宋_GB2312" w:cs="仿宋_GB2312" w:eastAsia="仿宋_GB2312"/>
          <w:sz w:val="24"/>
          <w:color w:val="000000"/>
        </w:rPr>
        <w:t>任何第三方提出此方面指控均与甲方无关，乙方应与第三方交涉，并承担可能发生的一切法律责任、费用和后果；若甲方因此而遭致损失，则</w:t>
      </w:r>
      <w:r>
        <w:rPr>
          <w:rFonts w:ascii="仿宋_GB2312" w:hAnsi="仿宋_GB2312" w:cs="仿宋_GB2312" w:eastAsia="仿宋_GB2312"/>
          <w:sz w:val="24"/>
          <w:color w:val="000000"/>
        </w:rPr>
        <w:t>乙方应赔偿该损失</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乙方应保证其能合法获得生产厂家有效期内的高级故障诊断软件及维修密码，并保证不违反国家有关知识产权的法律规定。因乙方行为造成的知识产权纠纷，</w:t>
      </w:r>
      <w:r>
        <w:rPr>
          <w:rFonts w:ascii="仿宋_GB2312" w:hAnsi="仿宋_GB2312" w:cs="仿宋_GB2312" w:eastAsia="仿宋_GB2312"/>
          <w:sz w:val="24"/>
          <w:color w:val="000000"/>
        </w:rPr>
        <w:t>乙方应与第三方交涉，并承担可能发生的一切法律责任、费用和后果；若甲方因此而遭致损失，则</w:t>
      </w:r>
      <w:r>
        <w:rPr>
          <w:rFonts w:ascii="仿宋_GB2312" w:hAnsi="仿宋_GB2312" w:cs="仿宋_GB2312" w:eastAsia="仿宋_GB2312"/>
          <w:sz w:val="24"/>
          <w:color w:val="000000"/>
        </w:rPr>
        <w:t>乙方应赔偿该损失</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若乙方提供的采购标的不符合国家知识产权法律、法规的规定或被有关主管机关认定为假冒伪劣品，则乙方中标资格将被取消；甲方还将按照有关法律、法规和规章的规定进行处理</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11.3若乙方违反本条11.1规定导致甲方被第三方起诉而遭受损失的，甲方可直接解除合同，并就自身损失向乙方完全追偿，追偿范围包括但不限于甲方因此支付的违约金、赔偿金、律师费、诉讼费、鉴定费、公告费、保全费、执行费、差旅费等一切费用和支出。同时甲方还可就乙方违反本合同知识产权担保义务之行为要求乙方退还甲方支付的全部合同款项并按照合同标的额的25%赔偿甲方违约金。</w:t>
      </w:r>
    </w:p>
    <w:p>
      <w:pPr>
        <w:pStyle w:val="null3"/>
        <w:ind w:firstLine="480"/>
        <w:jc w:val="both"/>
      </w:pPr>
      <w:r>
        <w:rPr>
          <w:rFonts w:ascii="仿宋_GB2312" w:hAnsi="仿宋_GB2312" w:cs="仿宋_GB2312" w:eastAsia="仿宋_GB2312"/>
          <w:sz w:val="24"/>
          <w:color w:val="000000"/>
        </w:rPr>
        <w:t>若乙方违反本条</w:t>
      </w:r>
      <w:r>
        <w:rPr>
          <w:rFonts w:ascii="仿宋_GB2312" w:hAnsi="仿宋_GB2312" w:cs="仿宋_GB2312" w:eastAsia="仿宋_GB2312"/>
          <w:sz w:val="24"/>
          <w:color w:val="000000"/>
        </w:rPr>
        <w:t>11.2规定导致乙方提供的采购标的被认定为假冒伪劣产品的，甲方有权解除本合同并要求乙方退还甲方支付的全部合同款项并按照合同标的额的25%赔偿甲方违约金，若造成甲方其他损失或额外支出的，甲方还可就损失或额外的支出向乙方完全追偿。</w:t>
      </w:r>
    </w:p>
    <w:p>
      <w:pPr>
        <w:pStyle w:val="null3"/>
        <w:ind w:firstLine="480"/>
        <w:jc w:val="both"/>
      </w:pPr>
      <w:r>
        <w:rPr>
          <w:rFonts w:ascii="仿宋_GB2312" w:hAnsi="仿宋_GB2312" w:cs="仿宋_GB2312" w:eastAsia="仿宋_GB2312"/>
          <w:sz w:val="24"/>
          <w:color w:val="000000"/>
        </w:rPr>
        <w:t>12、解决争议的方法</w:t>
      </w:r>
    </w:p>
    <w:p>
      <w:pPr>
        <w:pStyle w:val="null3"/>
        <w:ind w:firstLine="480"/>
        <w:jc w:val="both"/>
      </w:pPr>
      <w:r>
        <w:rPr>
          <w:rFonts w:ascii="仿宋_GB2312" w:hAnsi="仿宋_GB2312" w:cs="仿宋_GB2312" w:eastAsia="仿宋_GB2312"/>
          <w:sz w:val="24"/>
          <w:color w:val="000000"/>
        </w:rPr>
        <w:t>12.1甲、乙双方协商解决。</w:t>
      </w:r>
    </w:p>
    <w:p>
      <w:pPr>
        <w:pStyle w:val="null3"/>
        <w:ind w:firstLine="480"/>
        <w:jc w:val="both"/>
      </w:pPr>
      <w:r>
        <w:rPr>
          <w:rFonts w:ascii="仿宋_GB2312" w:hAnsi="仿宋_GB2312" w:cs="仿宋_GB2312" w:eastAsia="仿宋_GB2312"/>
          <w:sz w:val="24"/>
          <w:color w:val="000000"/>
        </w:rPr>
        <w:t>12.2若协商解决不成，则通过下列途径之一解决：</w:t>
      </w:r>
    </w:p>
    <w:p>
      <w:pPr>
        <w:pStyle w:val="null3"/>
        <w:ind w:firstLine="480"/>
        <w:jc w:val="both"/>
      </w:pPr>
      <w:r>
        <w:rPr>
          <w:rFonts w:ascii="仿宋_GB2312" w:hAnsi="仿宋_GB2312" w:cs="仿宋_GB2312" w:eastAsia="仿宋_GB2312"/>
          <w:sz w:val="24"/>
          <w:color w:val="000000"/>
        </w:rPr>
        <w:t>□提交仲裁委员会仲裁，具体如下：向 （甲方所在地）仲裁委员会申请仲裁。</w:t>
      </w:r>
    </w:p>
    <w:p>
      <w:pPr>
        <w:pStyle w:val="null3"/>
        <w:ind w:firstLine="480"/>
        <w:jc w:val="both"/>
      </w:pPr>
      <w:r>
        <w:rPr>
          <w:rFonts w:ascii="仿宋_GB2312" w:hAnsi="仿宋_GB2312" w:cs="仿宋_GB2312" w:eastAsia="仿宋_GB2312"/>
          <w:sz w:val="24"/>
          <w:color w:val="000000"/>
        </w:rPr>
        <w:t>R</w:t>
      </w:r>
      <w:r>
        <w:rPr>
          <w:rFonts w:ascii="仿宋_GB2312" w:hAnsi="仿宋_GB2312" w:cs="仿宋_GB2312" w:eastAsia="仿宋_GB2312"/>
          <w:sz w:val="24"/>
          <w:color w:val="000000"/>
        </w:rPr>
        <w:t>向人民法院提起诉讼，具体如下：向有管辖权的人民法院提起诉讼。</w:t>
      </w:r>
    </w:p>
    <w:p>
      <w:pPr>
        <w:pStyle w:val="null3"/>
        <w:ind w:firstLine="480"/>
        <w:jc w:val="both"/>
      </w:pPr>
      <w:r>
        <w:rPr>
          <w:rFonts w:ascii="仿宋_GB2312" w:hAnsi="仿宋_GB2312" w:cs="仿宋_GB2312" w:eastAsia="仿宋_GB2312"/>
          <w:sz w:val="24"/>
          <w:color w:val="000000"/>
        </w:rPr>
        <w:t>13、不可抗力</w:t>
      </w:r>
    </w:p>
    <w:p>
      <w:pPr>
        <w:pStyle w:val="null3"/>
        <w:ind w:firstLine="480"/>
        <w:jc w:val="both"/>
      </w:pPr>
      <w:r>
        <w:rPr>
          <w:rFonts w:ascii="仿宋_GB2312" w:hAnsi="仿宋_GB2312" w:cs="仿宋_GB2312" w:eastAsia="仿宋_GB2312"/>
          <w:sz w:val="24"/>
          <w:color w:val="000000"/>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sz w:val="24"/>
          <w:color w:val="000000"/>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2.2本招标文件未明确的其它约定事项或条款，待采购人与中标人签订合同时，由双方协商订立。 2.3本采购项目的招标文件、中标人的投标文件以及相关的承诺等均为本合同不可分割的一部分，与本合同具有同等法律效力。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[350101]AHG[GK]2025003-1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麻醉科设备一批采购项目(二次)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1(麻醉科设备一批)</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麻醉科设备一批</w:t>
            </w:r>
          </w:p>
        </w:tc>
        <w:tc>
          <w:tcPr>
            <w:tcW w:type="dxa" w:w="1661"/>
          </w:tcPr>
          <w:p>
            <w:pPr>
              <w:pStyle w:val="null3"/>
              <w:jc w:val="left"/>
            </w:pPr>
            <w:r>
              <w:rPr>
                <w:rFonts w:ascii="仿宋_GB2312" w:hAnsi="仿宋_GB2312" w:cs="仿宋_GB2312" w:eastAsia="仿宋_GB2312"/>
              </w:rPr>
              <w:t xml:space="preserve"> 695000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[350101]AHG[GK]2025003-1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麻醉科设备一批采购项目(二次)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麻醉科设备一批</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麻醉科设备一批</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麻醉机（高频喷射）</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292000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麻醉机（高流量）</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235000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加温毯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51000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输液加温仪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麻醉深度监护仪（BIS监测仪）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肌松监测仪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